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355" w:rsidRPr="00BD1D12" w:rsidRDefault="00157355" w:rsidP="00157355">
      <w:pPr>
        <w:tabs>
          <w:tab w:val="left" w:pos="1560"/>
        </w:tabs>
        <w:spacing w:line="360" w:lineRule="auto"/>
        <w:jc w:val="center"/>
        <w:rPr>
          <w:rFonts w:ascii="Bookman Old Style" w:hAnsi="Bookman Old Style" w:cs="Arial"/>
          <w:bCs/>
          <w:sz w:val="28"/>
          <w:szCs w:val="28"/>
        </w:rPr>
      </w:pPr>
    </w:p>
    <w:p w:rsidR="00157355" w:rsidRPr="00BD1D12" w:rsidRDefault="00157355" w:rsidP="00157355">
      <w:pPr>
        <w:tabs>
          <w:tab w:val="left" w:pos="1560"/>
        </w:tabs>
        <w:spacing w:line="360" w:lineRule="auto"/>
        <w:jc w:val="center"/>
        <w:rPr>
          <w:rFonts w:ascii="Bookman Old Style" w:hAnsi="Bookman Old Style" w:cs="Arial"/>
          <w:b/>
          <w:sz w:val="28"/>
          <w:szCs w:val="28"/>
        </w:rPr>
      </w:pPr>
      <w:r w:rsidRPr="00BD1D12">
        <w:rPr>
          <w:rFonts w:ascii="Bookman Old Style" w:hAnsi="Bookman Old Style" w:cs="Arial"/>
          <w:b/>
          <w:sz w:val="28"/>
          <w:szCs w:val="28"/>
        </w:rPr>
        <w:t>OCTAVIO AUGUSTO TEJEIRO DUQUE</w:t>
      </w:r>
    </w:p>
    <w:p w:rsidR="00157355" w:rsidRPr="00BD1D12" w:rsidRDefault="00157355" w:rsidP="00157355">
      <w:pPr>
        <w:tabs>
          <w:tab w:val="left" w:pos="1560"/>
        </w:tabs>
        <w:spacing w:line="360" w:lineRule="auto"/>
        <w:jc w:val="center"/>
        <w:rPr>
          <w:rFonts w:ascii="Bookman Old Style" w:hAnsi="Bookman Old Style" w:cs="Arial"/>
          <w:sz w:val="28"/>
          <w:szCs w:val="28"/>
        </w:rPr>
      </w:pPr>
      <w:r w:rsidRPr="00BD1D12">
        <w:rPr>
          <w:rFonts w:ascii="Bookman Old Style" w:hAnsi="Bookman Old Style" w:cs="Arial"/>
          <w:sz w:val="28"/>
          <w:szCs w:val="28"/>
        </w:rPr>
        <w:t>Magistrado Ponente</w:t>
      </w:r>
    </w:p>
    <w:p w:rsidR="00157355" w:rsidRPr="00BD1D12" w:rsidRDefault="00157355" w:rsidP="00157355">
      <w:pPr>
        <w:tabs>
          <w:tab w:val="left" w:pos="1560"/>
        </w:tabs>
        <w:spacing w:line="276" w:lineRule="auto"/>
        <w:jc w:val="center"/>
        <w:rPr>
          <w:rFonts w:ascii="Bookman Old Style" w:hAnsi="Bookman Old Style" w:cs="Arial"/>
          <w:b/>
          <w:sz w:val="28"/>
          <w:szCs w:val="28"/>
        </w:rPr>
      </w:pPr>
    </w:p>
    <w:p w:rsidR="00157355" w:rsidRPr="00BD1D12" w:rsidRDefault="00157355" w:rsidP="00157355">
      <w:pPr>
        <w:tabs>
          <w:tab w:val="left" w:pos="1560"/>
        </w:tabs>
        <w:spacing w:line="360" w:lineRule="auto"/>
        <w:jc w:val="center"/>
        <w:rPr>
          <w:rFonts w:ascii="Bookman Old Style" w:hAnsi="Bookman Old Style" w:cs="Arial"/>
          <w:b/>
          <w:sz w:val="28"/>
          <w:szCs w:val="28"/>
        </w:rPr>
      </w:pPr>
      <w:r w:rsidRPr="0023064F">
        <w:rPr>
          <w:rFonts w:ascii="Bookman Old Style" w:hAnsi="Bookman Old Style" w:cs="Arial"/>
          <w:b/>
          <w:sz w:val="28"/>
          <w:szCs w:val="28"/>
        </w:rPr>
        <w:t>STC16741-2019</w:t>
      </w:r>
    </w:p>
    <w:p w:rsidR="00157355" w:rsidRPr="00BD1D12" w:rsidRDefault="00157355" w:rsidP="00157355">
      <w:pPr>
        <w:pStyle w:val="Ttulo2"/>
        <w:tabs>
          <w:tab w:val="left" w:pos="1560"/>
        </w:tabs>
        <w:rPr>
          <w:rFonts w:ascii="Bookman Old Style" w:hAnsi="Bookman Old Style"/>
          <w:u w:val="none"/>
        </w:rPr>
      </w:pPr>
      <w:r w:rsidRPr="00BD1D12">
        <w:rPr>
          <w:rFonts w:ascii="Bookman Old Style" w:hAnsi="Bookman Old Style"/>
          <w:u w:val="none"/>
        </w:rPr>
        <w:t>Radicación nº 11001-02-03-000-2019-03</w:t>
      </w:r>
      <w:r>
        <w:rPr>
          <w:rFonts w:ascii="Bookman Old Style" w:hAnsi="Bookman Old Style"/>
          <w:u w:val="none"/>
        </w:rPr>
        <w:t>982</w:t>
      </w:r>
      <w:r w:rsidRPr="00BD1D12">
        <w:rPr>
          <w:rFonts w:ascii="Bookman Old Style" w:hAnsi="Bookman Old Style"/>
          <w:u w:val="none"/>
        </w:rPr>
        <w:t>-00</w:t>
      </w:r>
    </w:p>
    <w:p w:rsidR="00157355" w:rsidRPr="00BD1D12" w:rsidRDefault="00157355" w:rsidP="00157355">
      <w:pPr>
        <w:tabs>
          <w:tab w:val="left" w:pos="1560"/>
        </w:tabs>
        <w:spacing w:line="360" w:lineRule="auto"/>
        <w:jc w:val="center"/>
        <w:rPr>
          <w:rFonts w:ascii="Bookman Old Style" w:hAnsi="Bookman Old Style" w:cs="Arial"/>
          <w:sz w:val="28"/>
          <w:szCs w:val="28"/>
        </w:rPr>
      </w:pPr>
      <w:r w:rsidRPr="00BD1D12">
        <w:rPr>
          <w:rFonts w:ascii="Bookman Old Style" w:hAnsi="Bookman Old Style" w:cs="Arial"/>
          <w:sz w:val="24"/>
          <w:szCs w:val="24"/>
        </w:rPr>
        <w:t xml:space="preserve">(Aprobado en sesión de </w:t>
      </w:r>
      <w:r>
        <w:rPr>
          <w:rFonts w:ascii="Bookman Old Style" w:hAnsi="Bookman Old Style" w:cs="Arial"/>
          <w:sz w:val="24"/>
          <w:szCs w:val="24"/>
        </w:rPr>
        <w:t>diez</w:t>
      </w:r>
      <w:r w:rsidRPr="00BD1D12">
        <w:rPr>
          <w:rFonts w:ascii="Bookman Old Style" w:hAnsi="Bookman Old Style" w:cs="Arial"/>
          <w:sz w:val="24"/>
          <w:szCs w:val="24"/>
        </w:rPr>
        <w:t xml:space="preserve"> de </w:t>
      </w:r>
      <w:r>
        <w:rPr>
          <w:rFonts w:ascii="Bookman Old Style" w:hAnsi="Bookman Old Style" w:cs="Arial"/>
          <w:sz w:val="24"/>
          <w:szCs w:val="24"/>
        </w:rPr>
        <w:t>diciembre</w:t>
      </w:r>
      <w:r w:rsidRPr="00BD1D12">
        <w:rPr>
          <w:rFonts w:ascii="Bookman Old Style" w:hAnsi="Bookman Old Style" w:cs="Arial"/>
          <w:sz w:val="24"/>
          <w:szCs w:val="24"/>
        </w:rPr>
        <w:t xml:space="preserve"> de dos mil diecinueve</w:t>
      </w:r>
      <w:r w:rsidRPr="00BD1D12">
        <w:rPr>
          <w:rFonts w:ascii="Bookman Old Style" w:hAnsi="Bookman Old Style" w:cs="Arial"/>
          <w:sz w:val="28"/>
          <w:szCs w:val="28"/>
        </w:rPr>
        <w:t xml:space="preserve">) </w:t>
      </w:r>
    </w:p>
    <w:p w:rsidR="00157355" w:rsidRPr="00BD1D12" w:rsidRDefault="00157355" w:rsidP="00157355">
      <w:pPr>
        <w:tabs>
          <w:tab w:val="left" w:pos="1560"/>
        </w:tabs>
        <w:spacing w:line="276" w:lineRule="auto"/>
        <w:jc w:val="both"/>
        <w:rPr>
          <w:rFonts w:ascii="Bookman Old Style" w:hAnsi="Bookman Old Style" w:cs="Arial"/>
          <w:b/>
          <w:sz w:val="28"/>
          <w:szCs w:val="28"/>
        </w:rPr>
      </w:pPr>
    </w:p>
    <w:p w:rsidR="00157355" w:rsidRPr="00BD1D12" w:rsidRDefault="00157355" w:rsidP="00157355">
      <w:pPr>
        <w:tabs>
          <w:tab w:val="left" w:pos="1560"/>
        </w:tabs>
        <w:spacing w:line="360" w:lineRule="auto"/>
        <w:jc w:val="both"/>
        <w:rPr>
          <w:rFonts w:ascii="Bookman Old Style" w:hAnsi="Bookman Old Style" w:cs="Arial"/>
          <w:sz w:val="28"/>
          <w:szCs w:val="28"/>
        </w:rPr>
      </w:pPr>
      <w:r w:rsidRPr="00BD1D12">
        <w:rPr>
          <w:rFonts w:ascii="Bookman Old Style" w:hAnsi="Bookman Old Style" w:cs="Arial"/>
          <w:sz w:val="28"/>
          <w:szCs w:val="28"/>
        </w:rPr>
        <w:t xml:space="preserve">         Bogotá, D.C., </w:t>
      </w:r>
      <w:r>
        <w:rPr>
          <w:rFonts w:ascii="Bookman Old Style" w:hAnsi="Bookman Old Style" w:cs="Arial"/>
          <w:sz w:val="28"/>
          <w:szCs w:val="28"/>
        </w:rPr>
        <w:t>once</w:t>
      </w:r>
      <w:r w:rsidRPr="00BD1D12">
        <w:rPr>
          <w:rFonts w:ascii="Bookman Old Style" w:hAnsi="Bookman Old Style" w:cs="Arial"/>
          <w:sz w:val="28"/>
          <w:szCs w:val="28"/>
        </w:rPr>
        <w:t xml:space="preserve"> (1</w:t>
      </w:r>
      <w:r>
        <w:rPr>
          <w:rFonts w:ascii="Bookman Old Style" w:hAnsi="Bookman Old Style" w:cs="Arial"/>
          <w:sz w:val="28"/>
          <w:szCs w:val="28"/>
        </w:rPr>
        <w:t>1</w:t>
      </w:r>
      <w:r w:rsidRPr="00BD1D12">
        <w:rPr>
          <w:rFonts w:ascii="Bookman Old Style" w:hAnsi="Bookman Old Style" w:cs="Arial"/>
          <w:sz w:val="28"/>
          <w:szCs w:val="28"/>
        </w:rPr>
        <w:t xml:space="preserve">) de </w:t>
      </w:r>
      <w:r>
        <w:rPr>
          <w:rFonts w:ascii="Bookman Old Style" w:hAnsi="Bookman Old Style" w:cs="Arial"/>
          <w:sz w:val="28"/>
          <w:szCs w:val="28"/>
        </w:rPr>
        <w:t>diciem</w:t>
      </w:r>
      <w:r w:rsidRPr="00BD1D12">
        <w:rPr>
          <w:rFonts w:ascii="Bookman Old Style" w:hAnsi="Bookman Old Style" w:cs="Arial"/>
          <w:sz w:val="28"/>
          <w:szCs w:val="28"/>
        </w:rPr>
        <w:t>bre de dos mil diecinueve (2019)</w:t>
      </w:r>
    </w:p>
    <w:p w:rsidR="00157355" w:rsidRPr="00BD1D12" w:rsidRDefault="00157355" w:rsidP="00157355">
      <w:pPr>
        <w:pStyle w:val="Sangra2detindependiente"/>
        <w:spacing w:after="0" w:line="360" w:lineRule="auto"/>
        <w:ind w:left="0"/>
        <w:jc w:val="both"/>
        <w:rPr>
          <w:rFonts w:ascii="Bookman Old Style" w:hAnsi="Bookman Old Style" w:cs="Arial"/>
          <w:sz w:val="28"/>
          <w:szCs w:val="28"/>
        </w:rPr>
      </w:pPr>
    </w:p>
    <w:p w:rsidR="00157355" w:rsidRPr="00BD1D12" w:rsidRDefault="00157355" w:rsidP="00157355">
      <w:pPr>
        <w:spacing w:line="360" w:lineRule="auto"/>
        <w:ind w:firstLine="709"/>
        <w:jc w:val="both"/>
        <w:rPr>
          <w:rFonts w:ascii="Bookman Old Style" w:hAnsi="Bookman Old Style" w:cs="Arial"/>
          <w:sz w:val="28"/>
          <w:szCs w:val="28"/>
        </w:rPr>
      </w:pPr>
      <w:r w:rsidRPr="00BD1D12">
        <w:rPr>
          <w:rFonts w:ascii="Bookman Old Style" w:hAnsi="Bookman Old Style" w:cs="Arial"/>
          <w:sz w:val="28"/>
          <w:szCs w:val="28"/>
        </w:rPr>
        <w:t xml:space="preserve">Se decide el auxilio presentado por </w:t>
      </w:r>
      <w:r>
        <w:rPr>
          <w:rFonts w:ascii="Bookman Old Style" w:hAnsi="Bookman Old Style" w:cs="Arial"/>
          <w:sz w:val="28"/>
          <w:szCs w:val="28"/>
        </w:rPr>
        <w:t>Viajeros S.A.</w:t>
      </w:r>
      <w:r w:rsidRPr="00BD1D12">
        <w:rPr>
          <w:rFonts w:ascii="Bookman Old Style" w:hAnsi="Bookman Old Style" w:cs="Arial"/>
          <w:sz w:val="28"/>
          <w:szCs w:val="28"/>
        </w:rPr>
        <w:t xml:space="preserve"> contra la Sala Civil </w:t>
      </w:r>
      <w:r>
        <w:rPr>
          <w:rFonts w:ascii="Bookman Old Style" w:hAnsi="Bookman Old Style" w:cs="Arial"/>
          <w:sz w:val="28"/>
          <w:szCs w:val="28"/>
        </w:rPr>
        <w:t xml:space="preserve">Familia del </w:t>
      </w:r>
      <w:r w:rsidRPr="00BD1D12">
        <w:rPr>
          <w:rFonts w:ascii="Bookman Old Style" w:hAnsi="Bookman Old Style" w:cs="Arial"/>
          <w:sz w:val="28"/>
          <w:szCs w:val="28"/>
        </w:rPr>
        <w:t xml:space="preserve">Tribunal Superior del Distrito Judicial de </w:t>
      </w:r>
      <w:r>
        <w:rPr>
          <w:rFonts w:ascii="Bookman Old Style" w:hAnsi="Bookman Old Style" w:cs="Arial"/>
          <w:sz w:val="28"/>
          <w:szCs w:val="28"/>
        </w:rPr>
        <w:t>Santa Marta</w:t>
      </w:r>
      <w:r w:rsidRPr="00BD1D12">
        <w:rPr>
          <w:rFonts w:ascii="Bookman Old Style" w:hAnsi="Bookman Old Style" w:cs="Arial"/>
          <w:sz w:val="28"/>
          <w:szCs w:val="28"/>
        </w:rPr>
        <w:t>,</w:t>
      </w:r>
      <w:r>
        <w:rPr>
          <w:rFonts w:ascii="Bookman Old Style" w:hAnsi="Bookman Old Style" w:cs="Arial"/>
          <w:sz w:val="28"/>
          <w:szCs w:val="28"/>
        </w:rPr>
        <w:t xml:space="preserve"> extensiva a los</w:t>
      </w:r>
      <w:r w:rsidRPr="00BD1D12">
        <w:rPr>
          <w:rFonts w:ascii="Bookman Old Style" w:hAnsi="Bookman Old Style" w:cs="Arial"/>
          <w:sz w:val="28"/>
          <w:szCs w:val="28"/>
        </w:rPr>
        <w:t xml:space="preserve"> intervinientes en el asunto radicado bajo el número </w:t>
      </w:r>
      <w:r>
        <w:rPr>
          <w:rFonts w:ascii="Bookman Old Style" w:hAnsi="Bookman Old Style" w:cs="Arial"/>
          <w:sz w:val="28"/>
          <w:szCs w:val="28"/>
        </w:rPr>
        <w:t>47001-</w:t>
      </w:r>
      <w:r w:rsidRPr="00BD1D12">
        <w:rPr>
          <w:rFonts w:ascii="Bookman Old Style" w:hAnsi="Bookman Old Style" w:cs="Arial"/>
          <w:sz w:val="26"/>
          <w:szCs w:val="26"/>
        </w:rPr>
        <w:t>31-</w:t>
      </w:r>
      <w:r>
        <w:rPr>
          <w:rFonts w:ascii="Bookman Old Style" w:hAnsi="Bookman Old Style" w:cs="Arial"/>
          <w:sz w:val="26"/>
          <w:szCs w:val="26"/>
        </w:rPr>
        <w:t>53</w:t>
      </w:r>
      <w:r w:rsidRPr="00BD1D12">
        <w:rPr>
          <w:rFonts w:ascii="Bookman Old Style" w:hAnsi="Bookman Old Style" w:cs="Arial"/>
          <w:sz w:val="26"/>
          <w:szCs w:val="26"/>
        </w:rPr>
        <w:t>-001-201</w:t>
      </w:r>
      <w:r>
        <w:rPr>
          <w:rFonts w:ascii="Bookman Old Style" w:hAnsi="Bookman Old Style" w:cs="Arial"/>
          <w:sz w:val="26"/>
          <w:szCs w:val="26"/>
        </w:rPr>
        <w:t>8</w:t>
      </w:r>
      <w:r w:rsidRPr="00BD1D12">
        <w:rPr>
          <w:rFonts w:ascii="Bookman Old Style" w:hAnsi="Bookman Old Style" w:cs="Arial"/>
          <w:sz w:val="26"/>
          <w:szCs w:val="26"/>
        </w:rPr>
        <w:t>-00</w:t>
      </w:r>
      <w:r>
        <w:rPr>
          <w:rFonts w:ascii="Bookman Old Style" w:hAnsi="Bookman Old Style" w:cs="Arial"/>
          <w:sz w:val="26"/>
          <w:szCs w:val="26"/>
        </w:rPr>
        <w:t>1</w:t>
      </w:r>
      <w:r w:rsidRPr="00BD1D12">
        <w:rPr>
          <w:rFonts w:ascii="Bookman Old Style" w:hAnsi="Bookman Old Style" w:cs="Arial"/>
          <w:sz w:val="26"/>
          <w:szCs w:val="26"/>
        </w:rPr>
        <w:t>53-00</w:t>
      </w:r>
      <w:r w:rsidRPr="00BD1D12">
        <w:rPr>
          <w:rFonts w:ascii="Bookman Old Style" w:hAnsi="Bookman Old Style" w:cs="Arial"/>
          <w:sz w:val="28"/>
          <w:szCs w:val="28"/>
        </w:rPr>
        <w:t xml:space="preserve">. </w:t>
      </w:r>
    </w:p>
    <w:p w:rsidR="00157355" w:rsidRPr="00031BC0" w:rsidRDefault="00157355" w:rsidP="00157355">
      <w:pPr>
        <w:ind w:firstLine="709"/>
        <w:jc w:val="both"/>
        <w:rPr>
          <w:rFonts w:ascii="Bookman Old Style" w:hAnsi="Bookman Old Style" w:cs="Arial"/>
          <w:sz w:val="22"/>
          <w:szCs w:val="28"/>
        </w:rPr>
      </w:pPr>
    </w:p>
    <w:p w:rsidR="00157355" w:rsidRPr="00BD1D12" w:rsidRDefault="00157355" w:rsidP="00157355">
      <w:pPr>
        <w:pStyle w:val="Sangra2detindependiente"/>
        <w:spacing w:after="0" w:line="276" w:lineRule="auto"/>
        <w:ind w:left="0"/>
        <w:jc w:val="center"/>
        <w:rPr>
          <w:rFonts w:ascii="Bookman Old Style" w:hAnsi="Bookman Old Style" w:cs="Arial"/>
          <w:b/>
          <w:sz w:val="28"/>
          <w:szCs w:val="28"/>
        </w:rPr>
      </w:pPr>
      <w:r w:rsidRPr="00BD1D12">
        <w:rPr>
          <w:rFonts w:ascii="Bookman Old Style" w:hAnsi="Bookman Old Style" w:cs="Arial"/>
          <w:b/>
          <w:sz w:val="28"/>
          <w:szCs w:val="28"/>
        </w:rPr>
        <w:t>ANTECEDENTES</w:t>
      </w:r>
    </w:p>
    <w:p w:rsidR="00157355" w:rsidRPr="00BD1D12" w:rsidRDefault="00157355" w:rsidP="00157355">
      <w:pPr>
        <w:pStyle w:val="Sangra2detindependiente"/>
        <w:spacing w:after="0" w:line="360" w:lineRule="auto"/>
        <w:ind w:left="0" w:firstLine="709"/>
        <w:jc w:val="both"/>
        <w:rPr>
          <w:rFonts w:ascii="Bookman Old Style" w:hAnsi="Bookman Old Style" w:cs="Arial"/>
          <w:sz w:val="28"/>
          <w:szCs w:val="28"/>
        </w:rPr>
      </w:pPr>
    </w:p>
    <w:p w:rsidR="00157355" w:rsidRDefault="00157355" w:rsidP="00157355">
      <w:pPr>
        <w:pStyle w:val="Sangra2detindependiente"/>
        <w:spacing w:after="0" w:line="360" w:lineRule="auto"/>
        <w:ind w:left="0" w:firstLine="709"/>
        <w:jc w:val="both"/>
        <w:rPr>
          <w:rFonts w:ascii="Bookman Old Style" w:hAnsi="Bookman Old Style"/>
          <w:sz w:val="28"/>
          <w:szCs w:val="28"/>
        </w:rPr>
      </w:pPr>
      <w:r w:rsidRPr="004D522F">
        <w:rPr>
          <w:rFonts w:ascii="Bookman Old Style" w:hAnsi="Bookman Old Style" w:cs="Arial"/>
          <w:sz w:val="28"/>
          <w:szCs w:val="28"/>
        </w:rPr>
        <w:t>1.-</w:t>
      </w:r>
      <w:r>
        <w:rPr>
          <w:rFonts w:ascii="Bookman Old Style" w:hAnsi="Bookman Old Style" w:cs="Arial"/>
          <w:sz w:val="28"/>
          <w:szCs w:val="28"/>
        </w:rPr>
        <w:tab/>
        <w:t>La</w:t>
      </w:r>
      <w:r w:rsidRPr="00BD1D12">
        <w:rPr>
          <w:rFonts w:ascii="Bookman Old Style" w:hAnsi="Bookman Old Style" w:cs="Arial"/>
          <w:sz w:val="28"/>
          <w:szCs w:val="28"/>
          <w:lang w:val="es-CO"/>
        </w:rPr>
        <w:t xml:space="preserve"> gestor</w:t>
      </w:r>
      <w:r>
        <w:rPr>
          <w:rFonts w:ascii="Bookman Old Style" w:hAnsi="Bookman Old Style" w:cs="Arial"/>
          <w:sz w:val="28"/>
          <w:szCs w:val="28"/>
          <w:lang w:val="es-CO"/>
        </w:rPr>
        <w:t>a</w:t>
      </w:r>
      <w:r w:rsidRPr="00BD1D12">
        <w:rPr>
          <w:rFonts w:ascii="Bookman Old Style" w:hAnsi="Bookman Old Style" w:cs="Arial"/>
          <w:sz w:val="28"/>
          <w:szCs w:val="28"/>
          <w:lang w:val="es-CO"/>
        </w:rPr>
        <w:t xml:space="preserve"> </w:t>
      </w:r>
      <w:r>
        <w:rPr>
          <w:rFonts w:ascii="Bookman Old Style" w:hAnsi="Bookman Old Style" w:cs="Arial"/>
          <w:sz w:val="28"/>
          <w:szCs w:val="28"/>
          <w:lang w:val="es-CO"/>
        </w:rPr>
        <w:t xml:space="preserve">le endilgó </w:t>
      </w:r>
      <w:r w:rsidRPr="00BD1D12">
        <w:rPr>
          <w:rFonts w:ascii="Bookman Old Style" w:hAnsi="Bookman Old Style" w:cs="Arial"/>
          <w:sz w:val="28"/>
          <w:szCs w:val="28"/>
          <w:lang w:val="es-CO"/>
        </w:rPr>
        <w:t>a l</w:t>
      </w:r>
      <w:r>
        <w:rPr>
          <w:rFonts w:ascii="Bookman Old Style" w:hAnsi="Bookman Old Style" w:cs="Arial"/>
          <w:sz w:val="28"/>
          <w:szCs w:val="28"/>
          <w:lang w:val="es-CO"/>
        </w:rPr>
        <w:t xml:space="preserve">a </w:t>
      </w:r>
      <w:r w:rsidRPr="00BD1D12">
        <w:rPr>
          <w:rFonts w:ascii="Bookman Old Style" w:hAnsi="Bookman Old Style" w:cs="Arial"/>
          <w:sz w:val="28"/>
          <w:szCs w:val="28"/>
          <w:lang w:val="es-CO"/>
        </w:rPr>
        <w:t>encartad</w:t>
      </w:r>
      <w:r>
        <w:rPr>
          <w:rFonts w:ascii="Bookman Old Style" w:hAnsi="Bookman Old Style" w:cs="Arial"/>
          <w:sz w:val="28"/>
          <w:szCs w:val="28"/>
          <w:lang w:val="es-CO"/>
        </w:rPr>
        <w:t>a</w:t>
      </w:r>
      <w:r w:rsidRPr="00BD1D12">
        <w:rPr>
          <w:rFonts w:ascii="Bookman Old Style" w:hAnsi="Bookman Old Style" w:cs="Arial"/>
          <w:sz w:val="28"/>
          <w:szCs w:val="28"/>
          <w:lang w:val="es-CO"/>
        </w:rPr>
        <w:t xml:space="preserve"> </w:t>
      </w:r>
      <w:r>
        <w:rPr>
          <w:rFonts w:ascii="Bookman Old Style" w:hAnsi="Bookman Old Style" w:cs="Arial"/>
          <w:sz w:val="28"/>
          <w:szCs w:val="28"/>
          <w:lang w:val="es-CO"/>
        </w:rPr>
        <w:t>la vulneración de</w:t>
      </w:r>
      <w:r w:rsidRPr="00BD1D12">
        <w:rPr>
          <w:rFonts w:ascii="Bookman Old Style" w:hAnsi="Bookman Old Style" w:cs="Arial"/>
          <w:sz w:val="28"/>
          <w:szCs w:val="28"/>
          <w:lang w:val="es-CO"/>
        </w:rPr>
        <w:t xml:space="preserve"> sus derechos al </w:t>
      </w:r>
      <w:r w:rsidRPr="004D522F">
        <w:rPr>
          <w:rFonts w:ascii="Bookman Old Style" w:hAnsi="Bookman Old Style" w:cs="Arial"/>
          <w:i/>
          <w:sz w:val="28"/>
          <w:szCs w:val="28"/>
          <w:lang w:val="es-CO"/>
        </w:rPr>
        <w:t>«</w:t>
      </w:r>
      <w:r>
        <w:rPr>
          <w:rFonts w:ascii="Bookman Old Style" w:hAnsi="Bookman Old Style" w:cs="Arial"/>
          <w:i/>
          <w:sz w:val="28"/>
          <w:szCs w:val="28"/>
          <w:lang w:val="es-CO"/>
        </w:rPr>
        <w:t xml:space="preserve">debido proceso» </w:t>
      </w:r>
      <w:r>
        <w:rPr>
          <w:rFonts w:ascii="Bookman Old Style" w:hAnsi="Bookman Old Style" w:cs="Arial"/>
          <w:sz w:val="28"/>
          <w:szCs w:val="28"/>
          <w:lang w:val="es-CO"/>
        </w:rPr>
        <w:t>y</w:t>
      </w:r>
      <w:r>
        <w:rPr>
          <w:rFonts w:ascii="Bookman Old Style" w:hAnsi="Bookman Old Style" w:cs="Arial"/>
          <w:i/>
          <w:sz w:val="28"/>
          <w:szCs w:val="28"/>
          <w:lang w:val="es-CO"/>
        </w:rPr>
        <w:t xml:space="preserve"> «acceso a la administración de justicia</w:t>
      </w:r>
      <w:r>
        <w:rPr>
          <w:rFonts w:ascii="Bookman Old Style" w:hAnsi="Bookman Old Style" w:cs="Arial"/>
          <w:sz w:val="28"/>
          <w:szCs w:val="28"/>
          <w:lang w:val="es-CO"/>
        </w:rPr>
        <w:t xml:space="preserve">, en el juicio de cobro coercitivo que adelanta contra la Fundación para el Desarrollo y la Solidaridad </w:t>
      </w:r>
      <w:r w:rsidRPr="00D63A58">
        <w:rPr>
          <w:rFonts w:ascii="Bookman Old Style" w:hAnsi="Bookman Old Style" w:cs="Arial"/>
          <w:i/>
          <w:sz w:val="28"/>
          <w:szCs w:val="28"/>
          <w:lang w:val="es-CO"/>
        </w:rPr>
        <w:t>«</w:t>
      </w:r>
      <w:proofErr w:type="spellStart"/>
      <w:r w:rsidRPr="00D63A58">
        <w:rPr>
          <w:rFonts w:ascii="Bookman Old Style" w:hAnsi="Bookman Old Style" w:cs="Arial"/>
          <w:i/>
          <w:sz w:val="28"/>
          <w:szCs w:val="28"/>
          <w:lang w:val="es-CO"/>
        </w:rPr>
        <w:t>Fundesol</w:t>
      </w:r>
      <w:proofErr w:type="spellEnd"/>
      <w:r w:rsidRPr="00D63A58">
        <w:rPr>
          <w:rFonts w:ascii="Bookman Old Style" w:hAnsi="Bookman Old Style" w:cs="Arial"/>
          <w:i/>
          <w:sz w:val="28"/>
          <w:szCs w:val="28"/>
          <w:lang w:val="es-CO"/>
        </w:rPr>
        <w:t>»</w:t>
      </w:r>
      <w:r>
        <w:rPr>
          <w:rFonts w:ascii="Bookman Old Style" w:hAnsi="Bookman Old Style"/>
          <w:sz w:val="28"/>
          <w:szCs w:val="28"/>
        </w:rPr>
        <w:t xml:space="preserve"> y, en consecuencia, </w:t>
      </w:r>
      <w:r w:rsidRPr="005912F1">
        <w:rPr>
          <w:rFonts w:ascii="Bookman Old Style" w:hAnsi="Bookman Old Style"/>
          <w:i/>
          <w:sz w:val="28"/>
          <w:szCs w:val="28"/>
          <w:highlight w:val="yellow"/>
        </w:rPr>
        <w:t>«se declare nulo y se revoque»</w:t>
      </w:r>
      <w:r w:rsidRPr="005912F1">
        <w:rPr>
          <w:rFonts w:ascii="Bookman Old Style" w:hAnsi="Bookman Old Style"/>
          <w:sz w:val="28"/>
          <w:szCs w:val="28"/>
          <w:highlight w:val="yellow"/>
        </w:rPr>
        <w:t xml:space="preserve"> el proveído de 23 de septiembre de 2019, por </w:t>
      </w:r>
      <w:r w:rsidRPr="005912F1">
        <w:rPr>
          <w:rFonts w:ascii="Bookman Old Style" w:hAnsi="Bookman Old Style"/>
          <w:sz w:val="28"/>
          <w:szCs w:val="28"/>
          <w:highlight w:val="yellow"/>
        </w:rPr>
        <w:lastRenderedPageBreak/>
        <w:t xml:space="preserve">medio del cual esa Corporación </w:t>
      </w:r>
      <w:r w:rsidRPr="005912F1">
        <w:rPr>
          <w:rFonts w:ascii="Bookman Old Style" w:hAnsi="Bookman Old Style"/>
          <w:i/>
          <w:sz w:val="28"/>
          <w:szCs w:val="28"/>
          <w:highlight w:val="yellow"/>
        </w:rPr>
        <w:t>«revocó los autos del 08 de julio (…) 12 de junio y 14 de agosto de 2018, que soportaban el embargo y secuestro de los dineros que como participación correspondían a (…) “</w:t>
      </w:r>
      <w:proofErr w:type="spellStart"/>
      <w:r w:rsidRPr="005912F1">
        <w:rPr>
          <w:rFonts w:ascii="Bookman Old Style" w:hAnsi="Bookman Old Style"/>
          <w:i/>
          <w:sz w:val="28"/>
          <w:szCs w:val="28"/>
          <w:highlight w:val="yellow"/>
        </w:rPr>
        <w:t>Fundesol</w:t>
      </w:r>
      <w:proofErr w:type="spellEnd"/>
      <w:r w:rsidRPr="005912F1">
        <w:rPr>
          <w:rFonts w:ascii="Bookman Old Style" w:hAnsi="Bookman Old Style"/>
          <w:i/>
          <w:sz w:val="28"/>
          <w:szCs w:val="28"/>
          <w:highlight w:val="yellow"/>
        </w:rPr>
        <w:t xml:space="preserve">”, como integrante de las Uniones Temporales </w:t>
      </w:r>
      <w:proofErr w:type="spellStart"/>
      <w:r w:rsidRPr="005912F1">
        <w:rPr>
          <w:rFonts w:ascii="Bookman Old Style" w:hAnsi="Bookman Old Style"/>
          <w:i/>
          <w:sz w:val="28"/>
          <w:szCs w:val="28"/>
          <w:highlight w:val="yellow"/>
        </w:rPr>
        <w:t>Pae</w:t>
      </w:r>
      <w:proofErr w:type="spellEnd"/>
      <w:r w:rsidRPr="005912F1">
        <w:rPr>
          <w:rFonts w:ascii="Bookman Old Style" w:hAnsi="Bookman Old Style"/>
          <w:i/>
          <w:sz w:val="28"/>
          <w:szCs w:val="28"/>
          <w:highlight w:val="yellow"/>
        </w:rPr>
        <w:t xml:space="preserve"> Putumayo 2018 y </w:t>
      </w:r>
      <w:proofErr w:type="spellStart"/>
      <w:r w:rsidRPr="005912F1">
        <w:rPr>
          <w:rFonts w:ascii="Bookman Old Style" w:hAnsi="Bookman Old Style"/>
          <w:i/>
          <w:sz w:val="28"/>
          <w:szCs w:val="28"/>
          <w:highlight w:val="yellow"/>
        </w:rPr>
        <w:t>Pae</w:t>
      </w:r>
      <w:proofErr w:type="spellEnd"/>
      <w:r w:rsidRPr="005912F1">
        <w:rPr>
          <w:rFonts w:ascii="Bookman Old Style" w:hAnsi="Bookman Old Style"/>
          <w:i/>
          <w:sz w:val="28"/>
          <w:szCs w:val="28"/>
          <w:highlight w:val="yellow"/>
        </w:rPr>
        <w:t xml:space="preserve"> Nariño 2017».</w:t>
      </w:r>
      <w:r>
        <w:rPr>
          <w:rFonts w:ascii="Bookman Old Style" w:hAnsi="Bookman Old Style"/>
          <w:i/>
          <w:sz w:val="28"/>
          <w:szCs w:val="28"/>
        </w:rPr>
        <w:t xml:space="preserve"> </w:t>
      </w:r>
      <w:r w:rsidRPr="005912F1">
        <w:rPr>
          <w:rFonts w:ascii="Bookman Old Style" w:hAnsi="Bookman Old Style"/>
          <w:sz w:val="28"/>
          <w:szCs w:val="28"/>
          <w:highlight w:val="cyan"/>
        </w:rPr>
        <w:t xml:space="preserve">Asimismo, se le ordene que se </w:t>
      </w:r>
      <w:r w:rsidRPr="005912F1">
        <w:rPr>
          <w:rFonts w:ascii="Bookman Old Style" w:hAnsi="Bookman Old Style"/>
          <w:i/>
          <w:sz w:val="28"/>
          <w:szCs w:val="28"/>
          <w:highlight w:val="cyan"/>
        </w:rPr>
        <w:t>«abstenga»</w:t>
      </w:r>
      <w:r w:rsidRPr="005912F1">
        <w:rPr>
          <w:rFonts w:ascii="Bookman Old Style" w:hAnsi="Bookman Old Style"/>
          <w:sz w:val="28"/>
          <w:szCs w:val="28"/>
          <w:highlight w:val="cyan"/>
        </w:rPr>
        <w:t xml:space="preserve"> de </w:t>
      </w:r>
      <w:r w:rsidRPr="005912F1">
        <w:rPr>
          <w:rFonts w:ascii="Bookman Old Style" w:hAnsi="Bookman Old Style"/>
          <w:i/>
          <w:sz w:val="28"/>
          <w:szCs w:val="28"/>
          <w:highlight w:val="cyan"/>
        </w:rPr>
        <w:t xml:space="preserve">«estudiar y pronunciarse sobre la apelación presentada por las Uniones Temporales </w:t>
      </w:r>
      <w:proofErr w:type="spellStart"/>
      <w:r w:rsidRPr="005912F1">
        <w:rPr>
          <w:rFonts w:ascii="Bookman Old Style" w:hAnsi="Bookman Old Style"/>
          <w:i/>
          <w:sz w:val="28"/>
          <w:szCs w:val="28"/>
          <w:highlight w:val="cyan"/>
        </w:rPr>
        <w:t>Pae</w:t>
      </w:r>
      <w:proofErr w:type="spellEnd"/>
      <w:r w:rsidRPr="005912F1">
        <w:rPr>
          <w:rFonts w:ascii="Bookman Old Style" w:hAnsi="Bookman Old Style"/>
          <w:i/>
          <w:sz w:val="28"/>
          <w:szCs w:val="28"/>
          <w:highlight w:val="cyan"/>
        </w:rPr>
        <w:t xml:space="preserve"> Alimentando Nariño 2017 y </w:t>
      </w:r>
      <w:proofErr w:type="spellStart"/>
      <w:r w:rsidRPr="005912F1">
        <w:rPr>
          <w:rFonts w:ascii="Bookman Old Style" w:hAnsi="Bookman Old Style"/>
          <w:i/>
          <w:sz w:val="28"/>
          <w:szCs w:val="28"/>
          <w:highlight w:val="cyan"/>
        </w:rPr>
        <w:t>Pae</w:t>
      </w:r>
      <w:proofErr w:type="spellEnd"/>
      <w:r w:rsidRPr="005912F1">
        <w:rPr>
          <w:rFonts w:ascii="Bookman Old Style" w:hAnsi="Bookman Old Style"/>
          <w:i/>
          <w:sz w:val="28"/>
          <w:szCs w:val="28"/>
          <w:highlight w:val="cyan"/>
        </w:rPr>
        <w:t xml:space="preserve"> Putumayo 2018», toda vez que «no son parte en el litigio»</w:t>
      </w:r>
      <w:r w:rsidRPr="005912F1">
        <w:rPr>
          <w:rFonts w:ascii="Bookman Old Style" w:hAnsi="Bookman Old Style"/>
          <w:sz w:val="28"/>
          <w:szCs w:val="28"/>
          <w:highlight w:val="cyan"/>
        </w:rPr>
        <w:t xml:space="preserve"> y dada su naturaleza </w:t>
      </w:r>
      <w:r w:rsidRPr="005912F1">
        <w:rPr>
          <w:rFonts w:ascii="Bookman Old Style" w:hAnsi="Bookman Old Style"/>
          <w:i/>
          <w:sz w:val="28"/>
          <w:szCs w:val="28"/>
          <w:highlight w:val="cyan"/>
        </w:rPr>
        <w:t>«carecen de capacidad para participar en procesos jurídicos diferentes al objeto del contrato»</w:t>
      </w:r>
      <w:r w:rsidRPr="005912F1">
        <w:rPr>
          <w:rFonts w:ascii="Bookman Old Style" w:hAnsi="Bookman Old Style"/>
          <w:sz w:val="28"/>
          <w:szCs w:val="28"/>
          <w:highlight w:val="cyan"/>
        </w:rPr>
        <w:t>.</w:t>
      </w:r>
    </w:p>
    <w:p w:rsidR="00157355" w:rsidRDefault="00157355" w:rsidP="00157355">
      <w:pPr>
        <w:pStyle w:val="Sangra2detindependiente"/>
        <w:spacing w:after="0" w:line="360" w:lineRule="auto"/>
        <w:ind w:left="0" w:firstLine="709"/>
        <w:jc w:val="both"/>
        <w:rPr>
          <w:rFonts w:ascii="Bookman Old Style" w:hAnsi="Bookman Old Style"/>
          <w:sz w:val="28"/>
          <w:szCs w:val="28"/>
        </w:rPr>
      </w:pPr>
    </w:p>
    <w:p w:rsidR="00157355" w:rsidRPr="007757C5" w:rsidRDefault="00157355" w:rsidP="00157355">
      <w:pPr>
        <w:pStyle w:val="Sangra2detindependiente"/>
        <w:spacing w:after="0" w:line="360" w:lineRule="auto"/>
        <w:ind w:left="0" w:firstLine="709"/>
        <w:jc w:val="both"/>
        <w:rPr>
          <w:rFonts w:ascii="Bookman Old Style" w:hAnsi="Bookman Old Style" w:cs="Arial"/>
          <w:i/>
          <w:sz w:val="28"/>
          <w:szCs w:val="28"/>
        </w:rPr>
      </w:pPr>
      <w:r>
        <w:rPr>
          <w:rFonts w:ascii="Bookman Old Style" w:hAnsi="Bookman Old Style" w:cs="Arial"/>
          <w:sz w:val="28"/>
          <w:szCs w:val="28"/>
        </w:rPr>
        <w:t>Para soportar</w:t>
      </w:r>
      <w:bookmarkStart w:id="0" w:name="_GoBack"/>
      <w:bookmarkEnd w:id="0"/>
      <w:r>
        <w:rPr>
          <w:rFonts w:ascii="Bookman Old Style" w:hAnsi="Bookman Old Style" w:cs="Arial"/>
          <w:sz w:val="28"/>
          <w:szCs w:val="28"/>
        </w:rPr>
        <w:t xml:space="preserve"> tales pedimentos, en lo relevante aseguró que en el curso del referido litigio se decretaron </w:t>
      </w:r>
      <w:r w:rsidRPr="00B32475">
        <w:rPr>
          <w:rFonts w:ascii="Bookman Old Style" w:hAnsi="Bookman Old Style" w:cs="Arial"/>
          <w:i/>
          <w:sz w:val="28"/>
          <w:szCs w:val="28"/>
        </w:rPr>
        <w:t>«</w:t>
      </w:r>
      <w:r>
        <w:rPr>
          <w:rFonts w:ascii="Bookman Old Style" w:hAnsi="Bookman Old Style" w:cs="Arial"/>
          <w:i/>
          <w:sz w:val="28"/>
          <w:szCs w:val="28"/>
        </w:rPr>
        <w:t>medidas cautelares»</w:t>
      </w:r>
      <w:r>
        <w:rPr>
          <w:rFonts w:ascii="Bookman Old Style" w:hAnsi="Bookman Old Style" w:cs="Arial"/>
          <w:sz w:val="28"/>
          <w:szCs w:val="28"/>
        </w:rPr>
        <w:t xml:space="preserve"> que afectaban </w:t>
      </w:r>
      <w:r w:rsidRPr="00B32475">
        <w:rPr>
          <w:rFonts w:ascii="Bookman Old Style" w:hAnsi="Bookman Old Style" w:cs="Arial"/>
          <w:sz w:val="28"/>
          <w:szCs w:val="28"/>
        </w:rPr>
        <w:t xml:space="preserve">la </w:t>
      </w:r>
      <w:r>
        <w:rPr>
          <w:rFonts w:ascii="Bookman Old Style" w:hAnsi="Bookman Old Style" w:cs="Arial"/>
          <w:i/>
          <w:sz w:val="28"/>
          <w:szCs w:val="28"/>
        </w:rPr>
        <w:t xml:space="preserve">«participación que tenía la demandada </w:t>
      </w:r>
      <w:r w:rsidRPr="009A73CD">
        <w:rPr>
          <w:rFonts w:ascii="Bookman Old Style" w:hAnsi="Bookman Old Style" w:cs="Arial"/>
          <w:i/>
          <w:sz w:val="28"/>
          <w:szCs w:val="28"/>
        </w:rPr>
        <w:t>[</w:t>
      </w:r>
      <w:proofErr w:type="spellStart"/>
      <w:r w:rsidRPr="009A73CD">
        <w:rPr>
          <w:rFonts w:ascii="Bookman Old Style" w:hAnsi="Bookman Old Style" w:cs="Arial"/>
          <w:i/>
          <w:sz w:val="28"/>
          <w:szCs w:val="28"/>
        </w:rPr>
        <w:t>Fundesol</w:t>
      </w:r>
      <w:proofErr w:type="spellEnd"/>
      <w:r w:rsidRPr="009A73CD">
        <w:rPr>
          <w:rFonts w:ascii="Bookman Old Style" w:hAnsi="Bookman Old Style" w:cs="Arial"/>
          <w:i/>
          <w:sz w:val="28"/>
          <w:szCs w:val="28"/>
        </w:rPr>
        <w:t>]</w:t>
      </w:r>
      <w:r>
        <w:rPr>
          <w:rFonts w:ascii="Bookman Old Style" w:hAnsi="Bookman Old Style" w:cs="Arial"/>
          <w:i/>
          <w:sz w:val="28"/>
          <w:szCs w:val="28"/>
        </w:rPr>
        <w:t xml:space="preserve"> en la (sic) Uniones Temporales </w:t>
      </w:r>
      <w:proofErr w:type="spellStart"/>
      <w:r>
        <w:rPr>
          <w:rFonts w:ascii="Bookman Old Style" w:hAnsi="Bookman Old Style" w:cs="Arial"/>
          <w:i/>
          <w:sz w:val="28"/>
          <w:szCs w:val="28"/>
        </w:rPr>
        <w:t>Pae</w:t>
      </w:r>
      <w:proofErr w:type="spellEnd"/>
      <w:r>
        <w:rPr>
          <w:rFonts w:ascii="Bookman Old Style" w:hAnsi="Bookman Old Style" w:cs="Arial"/>
          <w:i/>
          <w:sz w:val="28"/>
          <w:szCs w:val="28"/>
        </w:rPr>
        <w:t xml:space="preserve"> Nariño 2018, </w:t>
      </w:r>
      <w:proofErr w:type="spellStart"/>
      <w:r>
        <w:rPr>
          <w:rFonts w:ascii="Bookman Old Style" w:hAnsi="Bookman Old Style" w:cs="Arial"/>
          <w:i/>
          <w:sz w:val="28"/>
          <w:szCs w:val="28"/>
        </w:rPr>
        <w:t>Pae</w:t>
      </w:r>
      <w:proofErr w:type="spellEnd"/>
      <w:r>
        <w:rPr>
          <w:rFonts w:ascii="Bookman Old Style" w:hAnsi="Bookman Old Style" w:cs="Arial"/>
          <w:i/>
          <w:sz w:val="28"/>
          <w:szCs w:val="28"/>
        </w:rPr>
        <w:t xml:space="preserve"> Putumayo 2018»</w:t>
      </w:r>
      <w:r>
        <w:rPr>
          <w:rFonts w:ascii="Bookman Old Style" w:hAnsi="Bookman Old Style" w:cs="Arial"/>
          <w:sz w:val="28"/>
          <w:szCs w:val="28"/>
        </w:rPr>
        <w:t xml:space="preserve">; no obstante, los precitados organismos, por vía de </w:t>
      </w:r>
      <w:r w:rsidRPr="007A3799">
        <w:rPr>
          <w:rFonts w:ascii="Bookman Old Style" w:hAnsi="Bookman Old Style" w:cs="Arial"/>
          <w:i/>
          <w:sz w:val="28"/>
          <w:szCs w:val="28"/>
        </w:rPr>
        <w:t>«tutela</w:t>
      </w:r>
      <w:r>
        <w:rPr>
          <w:rFonts w:ascii="Bookman Old Style" w:hAnsi="Bookman Old Style" w:cs="Arial"/>
          <w:i/>
          <w:sz w:val="28"/>
          <w:szCs w:val="28"/>
        </w:rPr>
        <w:t xml:space="preserve">» </w:t>
      </w:r>
      <w:r>
        <w:rPr>
          <w:rFonts w:ascii="Bookman Old Style" w:hAnsi="Bookman Old Style" w:cs="Arial"/>
          <w:sz w:val="28"/>
          <w:szCs w:val="28"/>
        </w:rPr>
        <w:t xml:space="preserve"> impetrada contra </w:t>
      </w:r>
      <w:r w:rsidRPr="007A3799">
        <w:rPr>
          <w:rFonts w:ascii="Bookman Old Style" w:hAnsi="Bookman Old Style" w:cs="Arial"/>
          <w:sz w:val="28"/>
          <w:szCs w:val="28"/>
        </w:rPr>
        <w:t>el Juzgado Primero Civil del Circuito de Santa Marta</w:t>
      </w:r>
      <w:r>
        <w:rPr>
          <w:rFonts w:ascii="Bookman Old Style" w:hAnsi="Bookman Old Style" w:cs="Arial"/>
          <w:sz w:val="28"/>
          <w:szCs w:val="28"/>
        </w:rPr>
        <w:t xml:space="preserve">, lograron que se le ordenara </w:t>
      </w:r>
      <w:r w:rsidRPr="007757C5">
        <w:rPr>
          <w:rFonts w:ascii="Bookman Old Style" w:hAnsi="Bookman Old Style" w:cs="Arial"/>
          <w:i/>
          <w:sz w:val="28"/>
          <w:szCs w:val="28"/>
        </w:rPr>
        <w:t>«estudiar [su] petición presentada el 7 de diciembre de 2018, como una solicitud de desembargo</w:t>
      </w:r>
      <w:r>
        <w:rPr>
          <w:rFonts w:ascii="Bookman Old Style" w:hAnsi="Bookman Old Style" w:cs="Arial"/>
          <w:sz w:val="28"/>
          <w:szCs w:val="28"/>
        </w:rPr>
        <w:t xml:space="preserve">, </w:t>
      </w:r>
      <w:r w:rsidRPr="007757C5">
        <w:rPr>
          <w:rFonts w:ascii="Bookman Old Style" w:hAnsi="Bookman Old Style" w:cs="Arial"/>
          <w:i/>
          <w:sz w:val="28"/>
          <w:szCs w:val="28"/>
        </w:rPr>
        <w:t xml:space="preserve">disponiendo la práctica de pruebas que estime pertinentes y </w:t>
      </w:r>
      <w:proofErr w:type="spellStart"/>
      <w:r w:rsidRPr="007757C5">
        <w:rPr>
          <w:rFonts w:ascii="Bookman Old Style" w:hAnsi="Bookman Old Style" w:cs="Arial"/>
          <w:i/>
          <w:sz w:val="28"/>
          <w:szCs w:val="28"/>
        </w:rPr>
        <w:t>emit</w:t>
      </w:r>
      <w:proofErr w:type="spellEnd"/>
      <w:r w:rsidRPr="007757C5">
        <w:rPr>
          <w:rFonts w:ascii="Bookman Old Style" w:hAnsi="Bookman Old Style" w:cs="Arial"/>
          <w:i/>
          <w:sz w:val="28"/>
          <w:szCs w:val="28"/>
        </w:rPr>
        <w:t>[ir] la decisión de fondo a que haya lugar</w:t>
      </w:r>
      <w:r>
        <w:rPr>
          <w:rFonts w:ascii="Bookman Old Style" w:hAnsi="Bookman Old Style" w:cs="Arial"/>
          <w:i/>
          <w:sz w:val="28"/>
          <w:szCs w:val="28"/>
        </w:rPr>
        <w:t>».</w:t>
      </w:r>
    </w:p>
    <w:p w:rsidR="00157355" w:rsidRDefault="00157355" w:rsidP="00157355">
      <w:pPr>
        <w:pStyle w:val="Sangra2detindependiente"/>
        <w:spacing w:after="0" w:line="360" w:lineRule="auto"/>
        <w:ind w:left="0" w:firstLine="709"/>
        <w:jc w:val="both"/>
        <w:rPr>
          <w:rFonts w:ascii="Bookman Old Style" w:hAnsi="Bookman Old Style" w:cs="Arial"/>
          <w:sz w:val="28"/>
          <w:szCs w:val="28"/>
        </w:rPr>
      </w:pPr>
    </w:p>
    <w:p w:rsidR="00157355" w:rsidRDefault="00157355" w:rsidP="00157355">
      <w:pPr>
        <w:pStyle w:val="Sangra2detindependiente"/>
        <w:spacing w:after="0" w:line="360" w:lineRule="auto"/>
        <w:ind w:left="0" w:firstLine="709"/>
        <w:jc w:val="both"/>
        <w:rPr>
          <w:rFonts w:ascii="Bookman Old Style" w:hAnsi="Bookman Old Style"/>
          <w:i/>
          <w:sz w:val="28"/>
          <w:szCs w:val="28"/>
        </w:rPr>
      </w:pPr>
      <w:r>
        <w:rPr>
          <w:rFonts w:ascii="Bookman Old Style" w:hAnsi="Bookman Old Style" w:cs="Arial"/>
          <w:sz w:val="28"/>
          <w:szCs w:val="28"/>
        </w:rPr>
        <w:lastRenderedPageBreak/>
        <w:t xml:space="preserve">Acotó que por auto de 8 de julio de 2019, ese estrado cumplió el anterior mandato </w:t>
      </w:r>
      <w:r w:rsidRPr="002A42FE">
        <w:rPr>
          <w:rFonts w:ascii="Bookman Old Style" w:hAnsi="Bookman Old Style" w:cs="Arial"/>
          <w:i/>
          <w:sz w:val="28"/>
          <w:szCs w:val="28"/>
        </w:rPr>
        <w:t>«absteniéndose de levantar (sic) medidas cautelares decretadas»</w:t>
      </w:r>
      <w:r>
        <w:rPr>
          <w:rFonts w:ascii="Bookman Old Style" w:hAnsi="Bookman Old Style" w:cs="Arial"/>
          <w:sz w:val="28"/>
          <w:szCs w:val="28"/>
        </w:rPr>
        <w:t xml:space="preserve">; determinación impugnada y revocada el 23 de septiembre del año en curso por la Sala Civil Familia del Tribunal Superior de Santa Marta, que dispuso el </w:t>
      </w:r>
      <w:r w:rsidRPr="00D63DB5">
        <w:rPr>
          <w:rFonts w:ascii="Bookman Old Style" w:hAnsi="Bookman Old Style" w:cs="Arial"/>
          <w:i/>
          <w:sz w:val="28"/>
          <w:szCs w:val="28"/>
        </w:rPr>
        <w:t>«levantamiento de medidas cautelares»</w:t>
      </w:r>
      <w:r>
        <w:rPr>
          <w:rFonts w:ascii="Bookman Old Style" w:hAnsi="Bookman Old Style" w:cs="Arial"/>
          <w:sz w:val="28"/>
          <w:szCs w:val="28"/>
        </w:rPr>
        <w:t xml:space="preserve"> relacionadas con el «</w:t>
      </w:r>
      <w:r w:rsidRPr="00321EEF">
        <w:rPr>
          <w:rFonts w:ascii="Bookman Old Style" w:hAnsi="Bookman Old Style"/>
          <w:i/>
          <w:sz w:val="28"/>
          <w:szCs w:val="28"/>
        </w:rPr>
        <w:t xml:space="preserve">embargo y secuestro de los dineros que como participación correspondían a </w:t>
      </w:r>
      <w:r w:rsidRPr="00C74088">
        <w:rPr>
          <w:rFonts w:ascii="Bookman Old Style" w:hAnsi="Bookman Old Style" w:cs="Arial"/>
          <w:i/>
          <w:sz w:val="28"/>
          <w:szCs w:val="28"/>
          <w:lang w:val="es-CO"/>
        </w:rPr>
        <w:t>Fundación para el Desarrollo y la Solidaridad «</w:t>
      </w:r>
      <w:proofErr w:type="spellStart"/>
      <w:r w:rsidRPr="00C74088">
        <w:rPr>
          <w:rFonts w:ascii="Bookman Old Style" w:hAnsi="Bookman Old Style" w:cs="Arial"/>
          <w:i/>
          <w:sz w:val="28"/>
          <w:szCs w:val="28"/>
          <w:lang w:val="es-CO"/>
        </w:rPr>
        <w:t>Fundesol</w:t>
      </w:r>
      <w:proofErr w:type="spellEnd"/>
      <w:r w:rsidRPr="00C74088">
        <w:rPr>
          <w:rFonts w:ascii="Bookman Old Style" w:hAnsi="Bookman Old Style" w:cs="Arial"/>
          <w:i/>
          <w:sz w:val="28"/>
          <w:szCs w:val="28"/>
          <w:lang w:val="es-CO"/>
        </w:rPr>
        <w:t>»</w:t>
      </w:r>
      <w:r w:rsidRPr="00C74088">
        <w:rPr>
          <w:rFonts w:ascii="Bookman Old Style" w:hAnsi="Bookman Old Style"/>
          <w:sz w:val="28"/>
          <w:szCs w:val="28"/>
        </w:rPr>
        <w:t xml:space="preserve">, como </w:t>
      </w:r>
      <w:r>
        <w:rPr>
          <w:rFonts w:ascii="Bookman Old Style" w:hAnsi="Bookman Old Style"/>
          <w:sz w:val="28"/>
          <w:szCs w:val="28"/>
        </w:rPr>
        <w:t xml:space="preserve">integrante de las aludidas </w:t>
      </w:r>
      <w:r w:rsidRPr="00C74088">
        <w:rPr>
          <w:rFonts w:ascii="Bookman Old Style" w:hAnsi="Bookman Old Style"/>
          <w:i/>
          <w:sz w:val="28"/>
          <w:szCs w:val="28"/>
        </w:rPr>
        <w:t>«uniones temporales»</w:t>
      </w:r>
      <w:r>
        <w:rPr>
          <w:rFonts w:ascii="Bookman Old Style" w:hAnsi="Bookman Old Style"/>
          <w:i/>
          <w:sz w:val="28"/>
          <w:szCs w:val="28"/>
        </w:rPr>
        <w:t>.</w:t>
      </w:r>
    </w:p>
    <w:p w:rsidR="00157355" w:rsidRDefault="00157355" w:rsidP="00157355">
      <w:pPr>
        <w:pStyle w:val="Sangra2detindependiente"/>
        <w:spacing w:after="0" w:line="360" w:lineRule="auto"/>
        <w:ind w:left="0" w:firstLine="709"/>
        <w:jc w:val="both"/>
        <w:rPr>
          <w:rFonts w:ascii="Bookman Old Style" w:hAnsi="Bookman Old Style"/>
          <w:i/>
          <w:sz w:val="28"/>
          <w:szCs w:val="28"/>
        </w:rPr>
      </w:pPr>
    </w:p>
    <w:p w:rsidR="00157355" w:rsidRDefault="00157355" w:rsidP="00157355">
      <w:pPr>
        <w:pStyle w:val="Sangra2detindependiente"/>
        <w:spacing w:after="0" w:line="360" w:lineRule="auto"/>
        <w:ind w:left="0" w:firstLine="709"/>
        <w:jc w:val="both"/>
        <w:rPr>
          <w:rFonts w:ascii="Bookman Old Style" w:hAnsi="Bookman Old Style"/>
          <w:sz w:val="28"/>
          <w:szCs w:val="28"/>
        </w:rPr>
      </w:pPr>
      <w:r>
        <w:rPr>
          <w:rFonts w:ascii="Bookman Old Style" w:hAnsi="Bookman Old Style"/>
          <w:sz w:val="28"/>
          <w:szCs w:val="28"/>
        </w:rPr>
        <w:t xml:space="preserve">Señaló que con ello el </w:t>
      </w:r>
      <w:r w:rsidRPr="00222ECA">
        <w:rPr>
          <w:rFonts w:ascii="Bookman Old Style" w:hAnsi="Bookman Old Style"/>
          <w:i/>
          <w:sz w:val="28"/>
          <w:szCs w:val="28"/>
        </w:rPr>
        <w:t xml:space="preserve">ad </w:t>
      </w:r>
      <w:proofErr w:type="spellStart"/>
      <w:r w:rsidRPr="00222ECA">
        <w:rPr>
          <w:rFonts w:ascii="Bookman Old Style" w:hAnsi="Bookman Old Style"/>
          <w:i/>
          <w:sz w:val="28"/>
          <w:szCs w:val="28"/>
        </w:rPr>
        <w:t>quem</w:t>
      </w:r>
      <w:proofErr w:type="spellEnd"/>
      <w:r>
        <w:rPr>
          <w:rFonts w:ascii="Bookman Old Style" w:hAnsi="Bookman Old Style"/>
          <w:i/>
          <w:sz w:val="28"/>
          <w:szCs w:val="28"/>
        </w:rPr>
        <w:t xml:space="preserve"> </w:t>
      </w:r>
      <w:r>
        <w:rPr>
          <w:rFonts w:ascii="Bookman Old Style" w:hAnsi="Bookman Old Style"/>
          <w:sz w:val="28"/>
          <w:szCs w:val="28"/>
        </w:rPr>
        <w:t xml:space="preserve">legitimó a estas asociaciones </w:t>
      </w:r>
      <w:r w:rsidRPr="00C74088">
        <w:rPr>
          <w:rFonts w:ascii="Bookman Old Style" w:hAnsi="Bookman Old Style"/>
          <w:i/>
          <w:sz w:val="28"/>
          <w:szCs w:val="28"/>
        </w:rPr>
        <w:t>«para participar en el proceso ejecutivo (…) como parte procesal»</w:t>
      </w:r>
      <w:r>
        <w:rPr>
          <w:rFonts w:ascii="Bookman Old Style" w:hAnsi="Bookman Old Style"/>
          <w:sz w:val="28"/>
          <w:szCs w:val="28"/>
        </w:rPr>
        <w:t xml:space="preserve">, pese a no contar con </w:t>
      </w:r>
      <w:r w:rsidRPr="00F25F66">
        <w:rPr>
          <w:rFonts w:ascii="Bookman Old Style" w:hAnsi="Bookman Old Style"/>
          <w:i/>
          <w:sz w:val="28"/>
          <w:szCs w:val="28"/>
        </w:rPr>
        <w:t>«capacidad para comparecer al proceso civil»</w:t>
      </w:r>
      <w:r>
        <w:rPr>
          <w:rFonts w:ascii="Bookman Old Style" w:hAnsi="Bookman Old Style"/>
          <w:sz w:val="28"/>
          <w:szCs w:val="28"/>
        </w:rPr>
        <w:t xml:space="preserve">, desconociendo los límites impuestos por el artículo 7º de la Ley 80 de 1993 y la jurisprudencia unificada del Consejo de Estado que confieren esa </w:t>
      </w:r>
      <w:r w:rsidRPr="00F25F66">
        <w:rPr>
          <w:rFonts w:ascii="Bookman Old Style" w:hAnsi="Bookman Old Style"/>
          <w:i/>
          <w:sz w:val="28"/>
          <w:szCs w:val="28"/>
        </w:rPr>
        <w:t>«capacidad</w:t>
      </w:r>
      <w:r>
        <w:rPr>
          <w:rFonts w:ascii="Bookman Old Style" w:hAnsi="Bookman Old Style"/>
          <w:i/>
          <w:sz w:val="28"/>
          <w:szCs w:val="28"/>
        </w:rPr>
        <w:t xml:space="preserve"> jurídica</w:t>
      </w:r>
      <w:r w:rsidRPr="00F25F66">
        <w:rPr>
          <w:rFonts w:ascii="Bookman Old Style" w:hAnsi="Bookman Old Style"/>
          <w:i/>
          <w:sz w:val="28"/>
          <w:szCs w:val="28"/>
        </w:rPr>
        <w:t>»</w:t>
      </w:r>
      <w:r>
        <w:rPr>
          <w:rFonts w:ascii="Bookman Old Style" w:hAnsi="Bookman Old Style"/>
          <w:sz w:val="28"/>
          <w:szCs w:val="28"/>
        </w:rPr>
        <w:t xml:space="preserve"> en forma exclusiva a aquellos </w:t>
      </w:r>
      <w:r w:rsidRPr="007971D7">
        <w:rPr>
          <w:rFonts w:ascii="Bookman Old Style" w:hAnsi="Bookman Old Style"/>
          <w:i/>
          <w:sz w:val="28"/>
          <w:szCs w:val="28"/>
        </w:rPr>
        <w:t>«litigios derivados de los contratos estatales o sus correspondientes procedimientos de selección»</w:t>
      </w:r>
      <w:r>
        <w:rPr>
          <w:rFonts w:ascii="Bookman Old Style" w:hAnsi="Bookman Old Style"/>
          <w:sz w:val="28"/>
          <w:szCs w:val="28"/>
        </w:rPr>
        <w:t>.</w:t>
      </w:r>
    </w:p>
    <w:p w:rsidR="00157355" w:rsidRDefault="00157355" w:rsidP="00157355">
      <w:pPr>
        <w:pStyle w:val="Sangra2detindependiente"/>
        <w:spacing w:after="0" w:line="360" w:lineRule="auto"/>
        <w:ind w:left="0" w:firstLine="709"/>
        <w:jc w:val="both"/>
        <w:rPr>
          <w:rFonts w:ascii="Bookman Old Style" w:hAnsi="Bookman Old Style"/>
          <w:sz w:val="28"/>
          <w:szCs w:val="28"/>
        </w:rPr>
      </w:pPr>
    </w:p>
    <w:p w:rsidR="00157355" w:rsidRDefault="00157355" w:rsidP="00157355">
      <w:pPr>
        <w:pStyle w:val="Sangra2detindependiente"/>
        <w:spacing w:after="0" w:line="360" w:lineRule="auto"/>
        <w:ind w:left="0" w:firstLine="709"/>
        <w:jc w:val="both"/>
        <w:rPr>
          <w:rFonts w:ascii="Bookman Old Style" w:hAnsi="Bookman Old Style" w:cs="Arial"/>
          <w:i/>
          <w:sz w:val="28"/>
          <w:szCs w:val="28"/>
        </w:rPr>
      </w:pPr>
      <w:r>
        <w:rPr>
          <w:rFonts w:ascii="Bookman Old Style" w:hAnsi="Bookman Old Style"/>
          <w:sz w:val="28"/>
          <w:szCs w:val="28"/>
        </w:rPr>
        <w:t>De igual forma a</w:t>
      </w:r>
      <w:r>
        <w:rPr>
          <w:rFonts w:ascii="Bookman Old Style" w:hAnsi="Bookman Old Style" w:cs="Arial"/>
          <w:sz w:val="28"/>
          <w:szCs w:val="28"/>
        </w:rPr>
        <w:t xml:space="preserve">dujo que de manera equívoca y sin sustento jurídico el Tribunal asumió que los </w:t>
      </w:r>
      <w:r w:rsidRPr="0016345F">
        <w:rPr>
          <w:rFonts w:ascii="Bookman Old Style" w:hAnsi="Bookman Old Style" w:cs="Arial"/>
          <w:i/>
          <w:sz w:val="28"/>
          <w:szCs w:val="28"/>
        </w:rPr>
        <w:t xml:space="preserve">«dineros embargados hacen parte del Sistema General de </w:t>
      </w:r>
      <w:r w:rsidRPr="0016345F">
        <w:rPr>
          <w:rFonts w:ascii="Bookman Old Style" w:hAnsi="Bookman Old Style" w:cs="Arial"/>
          <w:i/>
          <w:sz w:val="28"/>
          <w:szCs w:val="28"/>
        </w:rPr>
        <w:lastRenderedPageBreak/>
        <w:t>Participación»</w:t>
      </w:r>
      <w:r>
        <w:rPr>
          <w:rFonts w:ascii="Bookman Old Style" w:hAnsi="Bookman Old Style" w:cs="Arial"/>
          <w:sz w:val="28"/>
          <w:szCs w:val="28"/>
        </w:rPr>
        <w:t xml:space="preserve"> y, por ende, </w:t>
      </w:r>
      <w:r w:rsidRPr="0016345F">
        <w:rPr>
          <w:rFonts w:ascii="Bookman Old Style" w:hAnsi="Bookman Old Style" w:cs="Arial"/>
          <w:i/>
          <w:sz w:val="28"/>
          <w:szCs w:val="28"/>
        </w:rPr>
        <w:t>«inembargables»</w:t>
      </w:r>
      <w:r>
        <w:rPr>
          <w:rFonts w:ascii="Bookman Old Style" w:hAnsi="Bookman Old Style" w:cs="Arial"/>
          <w:sz w:val="28"/>
          <w:szCs w:val="28"/>
        </w:rPr>
        <w:t xml:space="preserve">, sin percatarse que </w:t>
      </w:r>
      <w:r w:rsidRPr="00A90CCA">
        <w:rPr>
          <w:rFonts w:ascii="Bookman Old Style" w:hAnsi="Bookman Old Style" w:cs="Arial"/>
          <w:i/>
          <w:sz w:val="28"/>
          <w:szCs w:val="28"/>
        </w:rPr>
        <w:t xml:space="preserve">«los dineros ya habían sido ejecutados, perdiendo así su carácter de </w:t>
      </w:r>
      <w:proofErr w:type="spellStart"/>
      <w:r w:rsidRPr="00A90CCA">
        <w:rPr>
          <w:rFonts w:ascii="Bookman Old Style" w:hAnsi="Bookman Old Style" w:cs="Arial"/>
          <w:i/>
          <w:sz w:val="28"/>
          <w:szCs w:val="28"/>
        </w:rPr>
        <w:t>inembargabilidad</w:t>
      </w:r>
      <w:proofErr w:type="spellEnd"/>
      <w:r w:rsidRPr="00A90CCA">
        <w:rPr>
          <w:rFonts w:ascii="Bookman Old Style" w:hAnsi="Bookman Old Style" w:cs="Arial"/>
          <w:i/>
          <w:sz w:val="28"/>
          <w:szCs w:val="28"/>
        </w:rPr>
        <w:t>, pues una vez ejecutados los mismos ya se encuentran por pagar en favor de un tercero, ya estos no pertenecen al erario del Estado»</w:t>
      </w:r>
      <w:r>
        <w:rPr>
          <w:rFonts w:ascii="Bookman Old Style" w:hAnsi="Bookman Old Style" w:cs="Arial"/>
          <w:sz w:val="28"/>
          <w:szCs w:val="28"/>
        </w:rPr>
        <w:t xml:space="preserve">, aunado al hecho que la </w:t>
      </w:r>
      <w:r w:rsidRPr="00A90CCA">
        <w:rPr>
          <w:rFonts w:ascii="Bookman Old Style" w:hAnsi="Bookman Old Style" w:cs="Arial"/>
          <w:i/>
          <w:sz w:val="28"/>
          <w:szCs w:val="28"/>
        </w:rPr>
        <w:t xml:space="preserve">«medida no iba dirigida al embargo de cuentas del Estado o dineros que hicieran parte del SGP, pues dicha orden delimitaba su cumplimiento a las sumas por pagar en favor de </w:t>
      </w:r>
      <w:proofErr w:type="spellStart"/>
      <w:r w:rsidRPr="00A90CCA">
        <w:rPr>
          <w:rFonts w:ascii="Bookman Old Style" w:hAnsi="Bookman Old Style" w:cs="Arial"/>
          <w:i/>
          <w:sz w:val="28"/>
          <w:szCs w:val="28"/>
        </w:rPr>
        <w:t>Fundesol</w:t>
      </w:r>
      <w:proofErr w:type="spellEnd"/>
      <w:r w:rsidRPr="00A90CCA">
        <w:rPr>
          <w:rFonts w:ascii="Bookman Old Style" w:hAnsi="Bookman Old Style" w:cs="Arial"/>
          <w:i/>
          <w:sz w:val="28"/>
          <w:szCs w:val="28"/>
        </w:rPr>
        <w:t xml:space="preserve"> como integrante de las referidas uniones temporales</w:t>
      </w:r>
      <w:r>
        <w:rPr>
          <w:rFonts w:ascii="Bookman Old Style" w:hAnsi="Bookman Old Style" w:cs="Arial"/>
          <w:i/>
          <w:sz w:val="28"/>
          <w:szCs w:val="28"/>
        </w:rPr>
        <w:t xml:space="preserve"> </w:t>
      </w:r>
      <w:r w:rsidRPr="00A90CCA">
        <w:rPr>
          <w:rFonts w:ascii="Bookman Old Style" w:hAnsi="Bookman Old Style" w:cs="Arial"/>
          <w:i/>
          <w:sz w:val="28"/>
          <w:szCs w:val="28"/>
        </w:rPr>
        <w:t>limitándolas a su participación»</w:t>
      </w:r>
    </w:p>
    <w:p w:rsidR="00157355" w:rsidRDefault="00157355" w:rsidP="00157355">
      <w:pPr>
        <w:pStyle w:val="Sangra2detindependiente"/>
        <w:spacing w:after="0" w:line="360" w:lineRule="auto"/>
        <w:ind w:left="0" w:firstLine="709"/>
        <w:jc w:val="both"/>
        <w:rPr>
          <w:rFonts w:ascii="Bookman Old Style" w:hAnsi="Bookman Old Style" w:cs="Arial"/>
          <w:i/>
          <w:sz w:val="28"/>
          <w:szCs w:val="28"/>
        </w:rPr>
      </w:pPr>
    </w:p>
    <w:p w:rsidR="00157355" w:rsidRPr="00D05BF3" w:rsidRDefault="00157355" w:rsidP="00157355">
      <w:pPr>
        <w:pStyle w:val="Sangra2detindependiente"/>
        <w:spacing w:after="0" w:line="360" w:lineRule="auto"/>
        <w:ind w:left="0" w:firstLine="709"/>
        <w:jc w:val="both"/>
        <w:rPr>
          <w:rFonts w:ascii="Bookman Old Style" w:hAnsi="Bookman Old Style" w:cs="Arial"/>
          <w:i/>
          <w:sz w:val="28"/>
          <w:szCs w:val="28"/>
        </w:rPr>
      </w:pPr>
      <w:r w:rsidRPr="003C50CE">
        <w:rPr>
          <w:rFonts w:ascii="Bookman Old Style" w:hAnsi="Bookman Old Style" w:cs="Arial"/>
          <w:sz w:val="28"/>
          <w:szCs w:val="28"/>
        </w:rPr>
        <w:t>Y</w:t>
      </w:r>
      <w:r>
        <w:rPr>
          <w:rFonts w:ascii="Bookman Old Style" w:hAnsi="Bookman Old Style" w:cs="Arial"/>
          <w:sz w:val="28"/>
          <w:szCs w:val="28"/>
        </w:rPr>
        <w:t xml:space="preserve"> también le reprochó el vacío en el </w:t>
      </w:r>
      <w:r w:rsidRPr="003C50CE">
        <w:rPr>
          <w:rFonts w:ascii="Bookman Old Style" w:hAnsi="Bookman Old Style" w:cs="Arial"/>
          <w:i/>
          <w:sz w:val="28"/>
          <w:szCs w:val="28"/>
        </w:rPr>
        <w:t xml:space="preserve">«análisis para determinar si en el particular se estructura alguno (sic) de las excepciones de </w:t>
      </w:r>
      <w:proofErr w:type="spellStart"/>
      <w:r w:rsidRPr="003C50CE">
        <w:rPr>
          <w:rFonts w:ascii="Bookman Old Style" w:hAnsi="Bookman Old Style" w:cs="Arial"/>
          <w:i/>
          <w:sz w:val="28"/>
          <w:szCs w:val="28"/>
        </w:rPr>
        <w:t>inembargabilidad</w:t>
      </w:r>
      <w:proofErr w:type="spellEnd"/>
      <w:r w:rsidRPr="003C50CE">
        <w:rPr>
          <w:rFonts w:ascii="Bookman Old Style" w:hAnsi="Bookman Old Style" w:cs="Arial"/>
          <w:i/>
          <w:sz w:val="28"/>
          <w:szCs w:val="28"/>
        </w:rPr>
        <w:t>»</w:t>
      </w:r>
      <w:r>
        <w:rPr>
          <w:rFonts w:ascii="Bookman Old Style" w:hAnsi="Bookman Old Style" w:cs="Arial"/>
          <w:sz w:val="28"/>
          <w:szCs w:val="28"/>
        </w:rPr>
        <w:t xml:space="preserve">, dado que los </w:t>
      </w:r>
      <w:r w:rsidRPr="00D05BF3">
        <w:rPr>
          <w:rFonts w:ascii="Bookman Old Style" w:hAnsi="Bookman Old Style" w:cs="Arial"/>
          <w:i/>
          <w:sz w:val="28"/>
          <w:szCs w:val="28"/>
        </w:rPr>
        <w:t xml:space="preserve">«dineros (…) cobrados fueron entregados por la demandante para iniciar la ejecución de los contratos del PAE a cargo de la demanda (sic) </w:t>
      </w:r>
      <w:proofErr w:type="spellStart"/>
      <w:r w:rsidRPr="00D05BF3">
        <w:rPr>
          <w:rFonts w:ascii="Bookman Old Style" w:hAnsi="Bookman Old Style" w:cs="Arial"/>
          <w:i/>
          <w:sz w:val="28"/>
          <w:szCs w:val="28"/>
        </w:rPr>
        <w:t>Fundesol</w:t>
      </w:r>
      <w:proofErr w:type="spellEnd"/>
      <w:r>
        <w:rPr>
          <w:rFonts w:ascii="Bookman Old Style" w:hAnsi="Bookman Old Style" w:cs="Arial"/>
          <w:i/>
          <w:sz w:val="28"/>
          <w:szCs w:val="28"/>
        </w:rPr>
        <w:t>»</w:t>
      </w:r>
      <w:r w:rsidRPr="00D05BF3">
        <w:rPr>
          <w:rFonts w:ascii="Bookman Old Style" w:hAnsi="Bookman Old Style" w:cs="Arial"/>
          <w:sz w:val="28"/>
          <w:szCs w:val="28"/>
        </w:rPr>
        <w:t xml:space="preserve">, esto es, </w:t>
      </w:r>
      <w:r>
        <w:rPr>
          <w:rFonts w:ascii="Bookman Old Style" w:hAnsi="Bookman Old Style" w:cs="Arial"/>
          <w:i/>
          <w:sz w:val="28"/>
          <w:szCs w:val="28"/>
        </w:rPr>
        <w:t xml:space="preserve">«para subsidiar a </w:t>
      </w:r>
      <w:proofErr w:type="spellStart"/>
      <w:r>
        <w:rPr>
          <w:rFonts w:ascii="Bookman Old Style" w:hAnsi="Bookman Old Style" w:cs="Arial"/>
          <w:i/>
          <w:sz w:val="28"/>
          <w:szCs w:val="28"/>
        </w:rPr>
        <w:t>Fundesol</w:t>
      </w:r>
      <w:proofErr w:type="spellEnd"/>
      <w:r>
        <w:rPr>
          <w:rFonts w:ascii="Bookman Old Style" w:hAnsi="Bookman Old Style" w:cs="Arial"/>
          <w:i/>
          <w:sz w:val="28"/>
          <w:szCs w:val="28"/>
        </w:rPr>
        <w:t xml:space="preserve"> en la ejecución del </w:t>
      </w:r>
      <w:proofErr w:type="spellStart"/>
      <w:r>
        <w:rPr>
          <w:rFonts w:ascii="Bookman Old Style" w:hAnsi="Bookman Old Style" w:cs="Arial"/>
          <w:i/>
          <w:sz w:val="28"/>
          <w:szCs w:val="28"/>
        </w:rPr>
        <w:t>Pae</w:t>
      </w:r>
      <w:proofErr w:type="spellEnd"/>
      <w:r>
        <w:rPr>
          <w:rFonts w:ascii="Bookman Old Style" w:hAnsi="Bookman Old Style" w:cs="Arial"/>
          <w:i/>
          <w:sz w:val="28"/>
          <w:szCs w:val="28"/>
        </w:rPr>
        <w:t xml:space="preserve"> Nariño 2017 y </w:t>
      </w:r>
      <w:proofErr w:type="spellStart"/>
      <w:r>
        <w:rPr>
          <w:rFonts w:ascii="Bookman Old Style" w:hAnsi="Bookman Old Style" w:cs="Arial"/>
          <w:i/>
          <w:sz w:val="28"/>
          <w:szCs w:val="28"/>
        </w:rPr>
        <w:t>Pae</w:t>
      </w:r>
      <w:proofErr w:type="spellEnd"/>
      <w:r>
        <w:rPr>
          <w:rFonts w:ascii="Bookman Old Style" w:hAnsi="Bookman Old Style" w:cs="Arial"/>
          <w:i/>
          <w:sz w:val="28"/>
          <w:szCs w:val="28"/>
        </w:rPr>
        <w:t xml:space="preserve"> Putumayo 2018, puesto que estos contratos no contemplan anticipos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fls</w:t>
      </w:r>
      <w:proofErr w:type="spellEnd"/>
      <w:r w:rsidRPr="006A121B">
        <w:rPr>
          <w:rFonts w:ascii="Bookman Old Style" w:hAnsi="Bookman Old Style" w:cs="Arial"/>
          <w:sz w:val="24"/>
          <w:szCs w:val="28"/>
        </w:rPr>
        <w:t>. 1 a 31)</w:t>
      </w:r>
      <w:r>
        <w:rPr>
          <w:rFonts w:ascii="Bookman Old Style" w:hAnsi="Bookman Old Style" w:cs="Arial"/>
          <w:i/>
          <w:sz w:val="28"/>
          <w:szCs w:val="28"/>
        </w:rPr>
        <w:t xml:space="preserve">. </w:t>
      </w:r>
    </w:p>
    <w:p w:rsidR="00157355" w:rsidRDefault="00157355" w:rsidP="00157355">
      <w:pPr>
        <w:pStyle w:val="Sangra2detindependiente"/>
        <w:spacing w:after="0" w:line="360" w:lineRule="auto"/>
        <w:ind w:left="0" w:firstLine="709"/>
        <w:jc w:val="both"/>
        <w:rPr>
          <w:rFonts w:ascii="Bookman Old Style" w:hAnsi="Bookman Old Style" w:cs="Arial"/>
          <w:sz w:val="28"/>
          <w:szCs w:val="28"/>
        </w:rPr>
      </w:pPr>
    </w:p>
    <w:p w:rsidR="00157355" w:rsidRDefault="00157355" w:rsidP="00157355">
      <w:pPr>
        <w:pStyle w:val="Sangra2detindependiente"/>
        <w:spacing w:after="0" w:line="360" w:lineRule="auto"/>
        <w:ind w:left="0" w:firstLine="709"/>
        <w:jc w:val="both"/>
        <w:rPr>
          <w:rFonts w:ascii="Bookman Old Style" w:hAnsi="Bookman Old Style" w:cs="Arial"/>
          <w:i/>
          <w:sz w:val="28"/>
          <w:szCs w:val="28"/>
        </w:rPr>
      </w:pPr>
      <w:r w:rsidRPr="00672A9C">
        <w:rPr>
          <w:rFonts w:ascii="Bookman Old Style" w:hAnsi="Bookman Old Style" w:cs="Arial"/>
          <w:sz w:val="28"/>
          <w:szCs w:val="28"/>
        </w:rPr>
        <w:t>2.-</w:t>
      </w:r>
      <w:r w:rsidRPr="00BD1D12">
        <w:rPr>
          <w:rFonts w:ascii="Bookman Old Style" w:hAnsi="Bookman Old Style" w:cs="Arial"/>
          <w:b/>
          <w:sz w:val="28"/>
          <w:szCs w:val="28"/>
        </w:rPr>
        <w:t xml:space="preserve"> </w:t>
      </w:r>
      <w:r w:rsidRPr="006A121B">
        <w:rPr>
          <w:rFonts w:ascii="Bookman Old Style" w:hAnsi="Bookman Old Style" w:cs="Arial"/>
          <w:sz w:val="28"/>
          <w:szCs w:val="28"/>
        </w:rPr>
        <w:tab/>
        <w:t xml:space="preserve">La </w:t>
      </w:r>
      <w:r>
        <w:rPr>
          <w:rFonts w:ascii="Bookman Old Style" w:hAnsi="Bookman Old Style" w:cs="Arial"/>
          <w:sz w:val="28"/>
          <w:szCs w:val="28"/>
        </w:rPr>
        <w:t xml:space="preserve">Magistratura fustigada defendió la legalidad de su actuar y destacó que el </w:t>
      </w:r>
      <w:r w:rsidRPr="006F457E">
        <w:rPr>
          <w:rFonts w:ascii="Bookman Old Style" w:hAnsi="Bookman Old Style" w:cs="Arial"/>
          <w:i/>
          <w:sz w:val="28"/>
          <w:szCs w:val="28"/>
        </w:rPr>
        <w:t>«levantamiento de las medidas»</w:t>
      </w:r>
      <w:r>
        <w:rPr>
          <w:rFonts w:ascii="Bookman Old Style" w:hAnsi="Bookman Old Style" w:cs="Arial"/>
          <w:sz w:val="28"/>
          <w:szCs w:val="28"/>
        </w:rPr>
        <w:t xml:space="preserve"> se dio luego de </w:t>
      </w:r>
      <w:r w:rsidRPr="006F457E">
        <w:rPr>
          <w:rFonts w:ascii="Bookman Old Style" w:hAnsi="Bookman Old Style" w:cs="Arial"/>
          <w:i/>
          <w:sz w:val="28"/>
          <w:szCs w:val="28"/>
        </w:rPr>
        <w:t xml:space="preserve">«evidenciarse que se trataba de recursos que </w:t>
      </w:r>
      <w:r w:rsidRPr="006F457E">
        <w:rPr>
          <w:rFonts w:ascii="Bookman Old Style" w:hAnsi="Bookman Old Style" w:cs="Arial"/>
          <w:i/>
          <w:sz w:val="28"/>
          <w:szCs w:val="28"/>
        </w:rPr>
        <w:lastRenderedPageBreak/>
        <w:t>ostentaban la calidad de inembargables»</w:t>
      </w:r>
      <w:r>
        <w:rPr>
          <w:rFonts w:ascii="Bookman Old Style" w:hAnsi="Bookman Old Style" w:cs="Arial"/>
          <w:sz w:val="28"/>
          <w:szCs w:val="28"/>
        </w:rPr>
        <w:t xml:space="preserve">, según daba cuenta la </w:t>
      </w:r>
      <w:r w:rsidRPr="00EC4B43">
        <w:rPr>
          <w:rFonts w:ascii="Bookman Old Style" w:hAnsi="Bookman Old Style" w:cs="Arial"/>
          <w:i/>
          <w:sz w:val="28"/>
          <w:szCs w:val="28"/>
        </w:rPr>
        <w:t>«valoración de los medios probatorios»</w:t>
      </w:r>
      <w:r>
        <w:rPr>
          <w:rFonts w:ascii="Bookman Old Style" w:hAnsi="Bookman Old Style" w:cs="Arial"/>
          <w:i/>
          <w:sz w:val="28"/>
          <w:szCs w:val="28"/>
        </w:rPr>
        <w:t xml:space="preserve">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w:t>
      </w:r>
      <w:proofErr w:type="spellEnd"/>
      <w:r w:rsidRPr="006A121B">
        <w:rPr>
          <w:rFonts w:ascii="Bookman Old Style" w:hAnsi="Bookman Old Style" w:cs="Arial"/>
          <w:sz w:val="24"/>
          <w:szCs w:val="28"/>
        </w:rPr>
        <w:t>. 1</w:t>
      </w:r>
      <w:r>
        <w:rPr>
          <w:rFonts w:ascii="Bookman Old Style" w:hAnsi="Bookman Old Style" w:cs="Arial"/>
          <w:sz w:val="24"/>
          <w:szCs w:val="28"/>
        </w:rPr>
        <w:t>48</w:t>
      </w:r>
      <w:r w:rsidRPr="006A121B">
        <w:rPr>
          <w:rFonts w:ascii="Bookman Old Style" w:hAnsi="Bookman Old Style" w:cs="Arial"/>
          <w:sz w:val="24"/>
          <w:szCs w:val="28"/>
        </w:rPr>
        <w:t>)</w:t>
      </w:r>
      <w:r>
        <w:rPr>
          <w:rFonts w:ascii="Bookman Old Style" w:hAnsi="Bookman Old Style" w:cs="Arial"/>
          <w:i/>
          <w:sz w:val="28"/>
          <w:szCs w:val="28"/>
        </w:rPr>
        <w:t>.</w:t>
      </w:r>
    </w:p>
    <w:p w:rsidR="00157355" w:rsidRDefault="00157355" w:rsidP="00157355">
      <w:pPr>
        <w:pStyle w:val="Sangra2detindependiente"/>
        <w:spacing w:after="0" w:line="360" w:lineRule="auto"/>
        <w:ind w:left="0" w:firstLine="709"/>
        <w:jc w:val="both"/>
        <w:rPr>
          <w:rFonts w:ascii="Bookman Old Style" w:hAnsi="Bookman Old Style" w:cs="Arial"/>
          <w:i/>
          <w:sz w:val="28"/>
          <w:szCs w:val="28"/>
        </w:rPr>
      </w:pPr>
    </w:p>
    <w:p w:rsidR="00157355" w:rsidRDefault="00157355" w:rsidP="00157355">
      <w:pPr>
        <w:pStyle w:val="Sangra2detindependiente"/>
        <w:spacing w:after="0" w:line="360" w:lineRule="auto"/>
        <w:ind w:left="0" w:firstLine="709"/>
        <w:jc w:val="both"/>
        <w:rPr>
          <w:rFonts w:ascii="Bookman Old Style" w:hAnsi="Bookman Old Style" w:cs="Arial"/>
          <w:sz w:val="24"/>
          <w:szCs w:val="28"/>
        </w:rPr>
      </w:pPr>
      <w:r>
        <w:rPr>
          <w:rFonts w:ascii="Bookman Old Style" w:hAnsi="Bookman Old Style" w:cs="Arial"/>
          <w:sz w:val="28"/>
          <w:szCs w:val="28"/>
        </w:rPr>
        <w:t xml:space="preserve">La Secretaría Jurídica de la Alcaldía Mayor de Bogotá se opuso a la prosperidad del amparo, alegando falta de legitimación en la causa por pasiva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w:t>
      </w:r>
      <w:r>
        <w:rPr>
          <w:rFonts w:ascii="Bookman Old Style" w:hAnsi="Bookman Old Style" w:cs="Arial"/>
          <w:sz w:val="24"/>
          <w:szCs w:val="28"/>
        </w:rPr>
        <w:t>s</w:t>
      </w:r>
      <w:proofErr w:type="spellEnd"/>
      <w:r w:rsidRPr="006A121B">
        <w:rPr>
          <w:rFonts w:ascii="Bookman Old Style" w:hAnsi="Bookman Old Style" w:cs="Arial"/>
          <w:sz w:val="24"/>
          <w:szCs w:val="28"/>
        </w:rPr>
        <w:t>. 1</w:t>
      </w:r>
      <w:r>
        <w:rPr>
          <w:rFonts w:ascii="Bookman Old Style" w:hAnsi="Bookman Old Style" w:cs="Arial"/>
          <w:sz w:val="24"/>
          <w:szCs w:val="28"/>
        </w:rPr>
        <w:t>63 a 165</w:t>
      </w:r>
      <w:r w:rsidRPr="006A121B">
        <w:rPr>
          <w:rFonts w:ascii="Bookman Old Style" w:hAnsi="Bookman Old Style" w:cs="Arial"/>
          <w:sz w:val="24"/>
          <w:szCs w:val="28"/>
        </w:rPr>
        <w:t>)</w:t>
      </w:r>
      <w:r w:rsidRPr="003840D6">
        <w:rPr>
          <w:rFonts w:ascii="Bookman Old Style" w:hAnsi="Bookman Old Style" w:cs="Arial"/>
          <w:sz w:val="28"/>
          <w:szCs w:val="28"/>
        </w:rPr>
        <w:t xml:space="preserve">; mientras que </w:t>
      </w:r>
      <w:r>
        <w:rPr>
          <w:rFonts w:ascii="Bookman Old Style" w:hAnsi="Bookman Old Style" w:cs="Arial"/>
          <w:sz w:val="28"/>
          <w:szCs w:val="28"/>
        </w:rPr>
        <w:t xml:space="preserve">la Secretaría de Educación Departamental de la Gobernación de Nariño lo hizo teniendo en cuenta que la </w:t>
      </w:r>
      <w:r>
        <w:rPr>
          <w:rFonts w:ascii="Bookman Old Style" w:hAnsi="Bookman Old Style" w:cs="Arial"/>
          <w:i/>
          <w:sz w:val="28"/>
          <w:szCs w:val="28"/>
        </w:rPr>
        <w:t>«</w:t>
      </w:r>
      <w:r w:rsidRPr="00071A9A">
        <w:rPr>
          <w:rFonts w:ascii="Bookman Old Style" w:hAnsi="Bookman Old Style" w:cs="Arial"/>
          <w:i/>
          <w:sz w:val="28"/>
          <w:szCs w:val="28"/>
        </w:rPr>
        <w:t xml:space="preserve">relación contractual entre el Departamento (…) y la Unión Temporal </w:t>
      </w:r>
      <w:proofErr w:type="spellStart"/>
      <w:r w:rsidRPr="00071A9A">
        <w:rPr>
          <w:rFonts w:ascii="Bookman Old Style" w:hAnsi="Bookman Old Style" w:cs="Arial"/>
          <w:i/>
          <w:sz w:val="28"/>
          <w:szCs w:val="28"/>
        </w:rPr>
        <w:t>Pae</w:t>
      </w:r>
      <w:proofErr w:type="spellEnd"/>
      <w:r w:rsidRPr="00071A9A">
        <w:rPr>
          <w:rFonts w:ascii="Bookman Old Style" w:hAnsi="Bookman Old Style" w:cs="Arial"/>
          <w:i/>
          <w:sz w:val="28"/>
          <w:szCs w:val="28"/>
        </w:rPr>
        <w:t xml:space="preserve"> Nariño 2017, se encuentra finiquitada conforme el acta de liquidación bilateral de 28 de junio de 2019»</w:t>
      </w:r>
      <w:r>
        <w:rPr>
          <w:rFonts w:ascii="Bookman Old Style" w:hAnsi="Bookman Old Style" w:cs="Arial"/>
          <w:sz w:val="28"/>
          <w:szCs w:val="28"/>
        </w:rPr>
        <w:t xml:space="preserve">, de manera que el </w:t>
      </w:r>
      <w:r w:rsidRPr="00CA3BD2">
        <w:rPr>
          <w:rFonts w:ascii="Bookman Old Style" w:hAnsi="Bookman Old Style" w:cs="Arial"/>
          <w:i/>
          <w:sz w:val="28"/>
          <w:szCs w:val="28"/>
        </w:rPr>
        <w:t>«contrato de prestación de prestación de servicios 1406-2017»</w:t>
      </w:r>
      <w:r>
        <w:rPr>
          <w:rFonts w:ascii="Bookman Old Style" w:hAnsi="Bookman Old Style" w:cs="Arial"/>
          <w:sz w:val="28"/>
          <w:szCs w:val="28"/>
        </w:rPr>
        <w:t xml:space="preserve">  fue </w:t>
      </w:r>
      <w:r w:rsidRPr="00071A9A">
        <w:rPr>
          <w:rFonts w:ascii="Bookman Old Style" w:hAnsi="Bookman Old Style" w:cs="Arial"/>
          <w:i/>
          <w:sz w:val="28"/>
          <w:szCs w:val="28"/>
        </w:rPr>
        <w:t>«pagado y liquidado, teniendo en cuenta el cumplimiento del objeto contractual»</w:t>
      </w:r>
      <w:r>
        <w:rPr>
          <w:rFonts w:ascii="Bookman Old Style" w:hAnsi="Bookman Old Style" w:cs="Arial"/>
          <w:sz w:val="28"/>
          <w:szCs w:val="28"/>
        </w:rPr>
        <w:t xml:space="preserve">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w:t>
      </w:r>
      <w:r>
        <w:rPr>
          <w:rFonts w:ascii="Bookman Old Style" w:hAnsi="Bookman Old Style" w:cs="Arial"/>
          <w:sz w:val="24"/>
          <w:szCs w:val="28"/>
        </w:rPr>
        <w:t>s</w:t>
      </w:r>
      <w:proofErr w:type="spellEnd"/>
      <w:r w:rsidRPr="006A121B">
        <w:rPr>
          <w:rFonts w:ascii="Bookman Old Style" w:hAnsi="Bookman Old Style" w:cs="Arial"/>
          <w:sz w:val="24"/>
          <w:szCs w:val="28"/>
        </w:rPr>
        <w:t>. 1</w:t>
      </w:r>
      <w:r>
        <w:rPr>
          <w:rFonts w:ascii="Bookman Old Style" w:hAnsi="Bookman Old Style" w:cs="Arial"/>
          <w:sz w:val="24"/>
          <w:szCs w:val="28"/>
        </w:rPr>
        <w:t>91 a 192</w:t>
      </w:r>
      <w:r w:rsidRPr="006A121B">
        <w:rPr>
          <w:rFonts w:ascii="Bookman Old Style" w:hAnsi="Bookman Old Style" w:cs="Arial"/>
          <w:sz w:val="24"/>
          <w:szCs w:val="28"/>
        </w:rPr>
        <w:t>)</w:t>
      </w:r>
      <w:r>
        <w:rPr>
          <w:rFonts w:ascii="Bookman Old Style" w:hAnsi="Bookman Old Style" w:cs="Arial"/>
          <w:sz w:val="24"/>
          <w:szCs w:val="28"/>
        </w:rPr>
        <w:t>.</w:t>
      </w:r>
    </w:p>
    <w:p w:rsidR="00157355" w:rsidRPr="00287619" w:rsidRDefault="00157355" w:rsidP="00157355">
      <w:pPr>
        <w:pStyle w:val="Sangra2detindependiente"/>
        <w:spacing w:after="0" w:line="360" w:lineRule="auto"/>
        <w:ind w:left="0" w:firstLine="709"/>
        <w:jc w:val="both"/>
        <w:rPr>
          <w:rFonts w:ascii="Bookman Old Style" w:hAnsi="Bookman Old Style" w:cs="Arial"/>
          <w:sz w:val="28"/>
          <w:szCs w:val="28"/>
        </w:rPr>
      </w:pPr>
    </w:p>
    <w:p w:rsidR="00157355" w:rsidRPr="00287619" w:rsidRDefault="00157355" w:rsidP="00157355">
      <w:pPr>
        <w:pStyle w:val="Sangra2detindependiente"/>
        <w:spacing w:after="0" w:line="360" w:lineRule="auto"/>
        <w:ind w:left="0" w:firstLine="709"/>
        <w:jc w:val="both"/>
        <w:rPr>
          <w:rFonts w:ascii="Bookman Old Style" w:hAnsi="Bookman Old Style" w:cs="Arial"/>
          <w:sz w:val="32"/>
          <w:szCs w:val="28"/>
        </w:rPr>
      </w:pPr>
      <w:r>
        <w:rPr>
          <w:rFonts w:ascii="Bookman Old Style" w:hAnsi="Bookman Old Style" w:cs="Arial"/>
          <w:sz w:val="28"/>
          <w:szCs w:val="28"/>
        </w:rPr>
        <w:t>Similar</w:t>
      </w:r>
      <w:r w:rsidRPr="00287619">
        <w:rPr>
          <w:rFonts w:ascii="Bookman Old Style" w:hAnsi="Bookman Old Style" w:cs="Arial"/>
          <w:sz w:val="28"/>
          <w:szCs w:val="28"/>
        </w:rPr>
        <w:t xml:space="preserve"> postura asumieron</w:t>
      </w:r>
      <w:r>
        <w:rPr>
          <w:rFonts w:ascii="Bookman Old Style" w:hAnsi="Bookman Old Style" w:cs="Arial"/>
          <w:sz w:val="28"/>
          <w:szCs w:val="28"/>
        </w:rPr>
        <w:t xml:space="preserve"> los representantes legales de</w:t>
      </w:r>
      <w:r w:rsidRPr="00287619">
        <w:rPr>
          <w:rFonts w:ascii="Bookman Old Style" w:hAnsi="Bookman Old Style" w:cs="Arial"/>
          <w:sz w:val="28"/>
          <w:szCs w:val="28"/>
        </w:rPr>
        <w:t xml:space="preserve"> </w:t>
      </w:r>
      <w:r>
        <w:rPr>
          <w:rFonts w:ascii="Bookman Old Style" w:hAnsi="Bookman Old Style" w:cs="Arial"/>
          <w:sz w:val="28"/>
          <w:szCs w:val="28"/>
        </w:rPr>
        <w:t xml:space="preserve">las Uniones Temporales </w:t>
      </w:r>
      <w:proofErr w:type="spellStart"/>
      <w:r>
        <w:rPr>
          <w:rFonts w:ascii="Bookman Old Style" w:hAnsi="Bookman Old Style" w:cs="Arial"/>
          <w:sz w:val="28"/>
          <w:szCs w:val="28"/>
        </w:rPr>
        <w:t>Pae</w:t>
      </w:r>
      <w:proofErr w:type="spellEnd"/>
      <w:r>
        <w:rPr>
          <w:rFonts w:ascii="Bookman Old Style" w:hAnsi="Bookman Old Style" w:cs="Arial"/>
          <w:sz w:val="28"/>
          <w:szCs w:val="28"/>
        </w:rPr>
        <w:t xml:space="preserve"> Nariño 2017 y </w:t>
      </w:r>
      <w:proofErr w:type="spellStart"/>
      <w:r>
        <w:rPr>
          <w:rFonts w:ascii="Bookman Old Style" w:hAnsi="Bookman Old Style" w:cs="Arial"/>
          <w:sz w:val="28"/>
          <w:szCs w:val="28"/>
        </w:rPr>
        <w:t>Pae</w:t>
      </w:r>
      <w:proofErr w:type="spellEnd"/>
      <w:r>
        <w:rPr>
          <w:rFonts w:ascii="Bookman Old Style" w:hAnsi="Bookman Old Style" w:cs="Arial"/>
          <w:sz w:val="28"/>
          <w:szCs w:val="28"/>
        </w:rPr>
        <w:t xml:space="preserve"> Putumayo 2018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w:t>
      </w:r>
      <w:r>
        <w:rPr>
          <w:rFonts w:ascii="Bookman Old Style" w:hAnsi="Bookman Old Style" w:cs="Arial"/>
          <w:sz w:val="24"/>
          <w:szCs w:val="28"/>
        </w:rPr>
        <w:t>s</w:t>
      </w:r>
      <w:proofErr w:type="spellEnd"/>
      <w:r w:rsidRPr="006A121B">
        <w:rPr>
          <w:rFonts w:ascii="Bookman Old Style" w:hAnsi="Bookman Old Style" w:cs="Arial"/>
          <w:sz w:val="24"/>
          <w:szCs w:val="28"/>
        </w:rPr>
        <w:t xml:space="preserve">. </w:t>
      </w:r>
      <w:r>
        <w:rPr>
          <w:rFonts w:ascii="Bookman Old Style" w:hAnsi="Bookman Old Style" w:cs="Arial"/>
          <w:sz w:val="24"/>
          <w:szCs w:val="28"/>
        </w:rPr>
        <w:t>204 a 211</w:t>
      </w:r>
      <w:r w:rsidRPr="006A121B">
        <w:rPr>
          <w:rFonts w:ascii="Bookman Old Style" w:hAnsi="Bookman Old Style" w:cs="Arial"/>
          <w:sz w:val="24"/>
          <w:szCs w:val="28"/>
        </w:rPr>
        <w:t>)</w:t>
      </w:r>
      <w:r>
        <w:rPr>
          <w:rFonts w:ascii="Bookman Old Style" w:hAnsi="Bookman Old Style" w:cs="Arial"/>
          <w:sz w:val="24"/>
          <w:szCs w:val="28"/>
        </w:rPr>
        <w:t xml:space="preserve"> </w:t>
      </w:r>
      <w:r>
        <w:rPr>
          <w:rFonts w:ascii="Bookman Old Style" w:hAnsi="Bookman Old Style" w:cs="Arial"/>
          <w:sz w:val="28"/>
          <w:szCs w:val="28"/>
        </w:rPr>
        <w:t xml:space="preserve">y de la </w:t>
      </w:r>
      <w:r>
        <w:rPr>
          <w:rFonts w:ascii="Bookman Old Style" w:hAnsi="Bookman Old Style" w:cs="Arial"/>
          <w:sz w:val="28"/>
          <w:szCs w:val="28"/>
          <w:lang w:val="es-CO"/>
        </w:rPr>
        <w:t xml:space="preserve">Fundación para el Desarrollo y la Solidaridad </w:t>
      </w:r>
      <w:r w:rsidRPr="00D63A58">
        <w:rPr>
          <w:rFonts w:ascii="Bookman Old Style" w:hAnsi="Bookman Old Style" w:cs="Arial"/>
          <w:i/>
          <w:sz w:val="28"/>
          <w:szCs w:val="28"/>
          <w:lang w:val="es-CO"/>
        </w:rPr>
        <w:t>«</w:t>
      </w:r>
      <w:proofErr w:type="spellStart"/>
      <w:r w:rsidRPr="00D63A58">
        <w:rPr>
          <w:rFonts w:ascii="Bookman Old Style" w:hAnsi="Bookman Old Style" w:cs="Arial"/>
          <w:i/>
          <w:sz w:val="28"/>
          <w:szCs w:val="28"/>
          <w:lang w:val="es-CO"/>
        </w:rPr>
        <w:t>Fundesol</w:t>
      </w:r>
      <w:proofErr w:type="spellEnd"/>
      <w:r w:rsidRPr="00D63A58">
        <w:rPr>
          <w:rFonts w:ascii="Bookman Old Style" w:hAnsi="Bookman Old Style" w:cs="Arial"/>
          <w:i/>
          <w:sz w:val="28"/>
          <w:szCs w:val="28"/>
          <w:lang w:val="es-CO"/>
        </w:rPr>
        <w:t>»</w:t>
      </w:r>
      <w:r>
        <w:rPr>
          <w:rFonts w:ascii="Bookman Old Style" w:hAnsi="Bookman Old Style"/>
          <w:sz w:val="28"/>
          <w:szCs w:val="28"/>
        </w:rPr>
        <w:t xml:space="preserve"> </w:t>
      </w:r>
      <w:r w:rsidRPr="006A121B">
        <w:rPr>
          <w:rFonts w:ascii="Bookman Old Style" w:hAnsi="Bookman Old Style" w:cs="Arial"/>
          <w:sz w:val="24"/>
          <w:szCs w:val="28"/>
        </w:rPr>
        <w:t>(</w:t>
      </w:r>
      <w:proofErr w:type="spellStart"/>
      <w:r w:rsidRPr="006A121B">
        <w:rPr>
          <w:rFonts w:ascii="Bookman Old Style" w:hAnsi="Bookman Old Style" w:cs="Arial"/>
          <w:sz w:val="24"/>
          <w:szCs w:val="28"/>
        </w:rPr>
        <w:t>fl</w:t>
      </w:r>
      <w:r>
        <w:rPr>
          <w:rFonts w:ascii="Bookman Old Style" w:hAnsi="Bookman Old Style" w:cs="Arial"/>
          <w:sz w:val="24"/>
          <w:szCs w:val="28"/>
        </w:rPr>
        <w:t>s</w:t>
      </w:r>
      <w:proofErr w:type="spellEnd"/>
      <w:r w:rsidRPr="006A121B">
        <w:rPr>
          <w:rFonts w:ascii="Bookman Old Style" w:hAnsi="Bookman Old Style" w:cs="Arial"/>
          <w:sz w:val="24"/>
          <w:szCs w:val="28"/>
        </w:rPr>
        <w:t xml:space="preserve">. </w:t>
      </w:r>
      <w:r>
        <w:rPr>
          <w:rFonts w:ascii="Bookman Old Style" w:hAnsi="Bookman Old Style" w:cs="Arial"/>
          <w:sz w:val="24"/>
          <w:szCs w:val="28"/>
        </w:rPr>
        <w:t>2261 a 228</w:t>
      </w:r>
      <w:r w:rsidRPr="006A121B">
        <w:rPr>
          <w:rFonts w:ascii="Bookman Old Style" w:hAnsi="Bookman Old Style" w:cs="Arial"/>
          <w:sz w:val="24"/>
          <w:szCs w:val="28"/>
        </w:rPr>
        <w:t>)</w:t>
      </w:r>
      <w:r>
        <w:rPr>
          <w:rFonts w:ascii="Bookman Old Style" w:hAnsi="Bookman Old Style" w:cs="Arial"/>
          <w:sz w:val="24"/>
          <w:szCs w:val="28"/>
        </w:rPr>
        <w:t>.</w:t>
      </w:r>
      <w:r>
        <w:rPr>
          <w:rFonts w:ascii="Bookman Old Style" w:hAnsi="Bookman Old Style" w:cs="Arial"/>
          <w:sz w:val="28"/>
          <w:szCs w:val="28"/>
        </w:rPr>
        <w:t xml:space="preserve"> </w:t>
      </w:r>
      <w:r w:rsidRPr="00287619">
        <w:rPr>
          <w:rFonts w:ascii="Bookman Old Style" w:hAnsi="Bookman Old Style" w:cs="Arial"/>
          <w:sz w:val="32"/>
          <w:szCs w:val="28"/>
        </w:rPr>
        <w:t xml:space="preserve"> </w:t>
      </w:r>
    </w:p>
    <w:p w:rsidR="00157355" w:rsidRDefault="00157355" w:rsidP="00157355">
      <w:pPr>
        <w:pStyle w:val="Sangra2detindependiente"/>
        <w:spacing w:after="0" w:line="360" w:lineRule="auto"/>
        <w:ind w:left="0" w:firstLine="709"/>
        <w:jc w:val="both"/>
        <w:rPr>
          <w:rFonts w:ascii="Bookman Old Style" w:hAnsi="Bookman Old Style" w:cs="Arial"/>
          <w:sz w:val="28"/>
          <w:szCs w:val="28"/>
        </w:rPr>
      </w:pPr>
    </w:p>
    <w:p w:rsidR="00157355" w:rsidRDefault="00157355" w:rsidP="00157355">
      <w:pPr>
        <w:widowControl w:val="0"/>
        <w:spacing w:line="360" w:lineRule="auto"/>
        <w:ind w:firstLine="708"/>
        <w:jc w:val="both"/>
        <w:rPr>
          <w:rFonts w:ascii="Bookman Old Style" w:hAnsi="Bookman Old Style" w:cs="Arial"/>
          <w:color w:val="000000"/>
          <w:sz w:val="28"/>
          <w:szCs w:val="28"/>
        </w:rPr>
      </w:pPr>
      <w:r w:rsidRPr="00D83D70">
        <w:rPr>
          <w:rFonts w:ascii="Bookman Old Style" w:hAnsi="Bookman Old Style" w:cs="Arial"/>
          <w:sz w:val="28"/>
          <w:szCs w:val="28"/>
        </w:rPr>
        <w:t>3.-</w:t>
      </w:r>
      <w:r w:rsidRPr="00D83D70">
        <w:rPr>
          <w:rFonts w:ascii="Bookman Old Style" w:hAnsi="Bookman Old Style" w:cs="Arial"/>
          <w:sz w:val="28"/>
          <w:szCs w:val="28"/>
        </w:rPr>
        <w:tab/>
      </w:r>
      <w:r w:rsidRPr="00D83D70">
        <w:rPr>
          <w:rFonts w:ascii="Bookman Old Style" w:hAnsi="Bookman Old Style" w:cs="Arial"/>
          <w:color w:val="000000"/>
          <w:sz w:val="28"/>
          <w:szCs w:val="28"/>
        </w:rPr>
        <w:t>Los demás convocados no se manifestaron.</w:t>
      </w:r>
    </w:p>
    <w:p w:rsidR="00157355" w:rsidRPr="00BD1D12" w:rsidRDefault="00157355" w:rsidP="00157355">
      <w:pPr>
        <w:spacing w:line="360" w:lineRule="auto"/>
        <w:jc w:val="center"/>
        <w:rPr>
          <w:rFonts w:ascii="Bookman Old Style" w:hAnsi="Bookman Old Style" w:cs="Arial"/>
          <w:b/>
          <w:sz w:val="28"/>
          <w:szCs w:val="28"/>
        </w:rPr>
      </w:pPr>
      <w:r w:rsidRPr="00BD1D12">
        <w:rPr>
          <w:rFonts w:ascii="Bookman Old Style" w:hAnsi="Bookman Old Style" w:cs="Arial"/>
          <w:b/>
          <w:sz w:val="28"/>
          <w:szCs w:val="28"/>
        </w:rPr>
        <w:t>CONSIDERACIONES</w:t>
      </w:r>
    </w:p>
    <w:p w:rsidR="00157355" w:rsidRDefault="00157355" w:rsidP="00157355">
      <w:pPr>
        <w:spacing w:line="276" w:lineRule="auto"/>
        <w:jc w:val="center"/>
        <w:rPr>
          <w:rFonts w:ascii="Bookman Old Style" w:hAnsi="Bookman Old Style" w:cs="Arial"/>
          <w:b/>
          <w:sz w:val="28"/>
          <w:szCs w:val="28"/>
        </w:rPr>
      </w:pPr>
    </w:p>
    <w:p w:rsidR="00157355" w:rsidRPr="008D623B" w:rsidRDefault="00157355" w:rsidP="00157355">
      <w:pPr>
        <w:spacing w:line="360" w:lineRule="auto"/>
        <w:ind w:firstLine="708"/>
        <w:jc w:val="both"/>
        <w:rPr>
          <w:rFonts w:ascii="Bookman Old Style" w:hAnsi="Bookman Old Style" w:cs="Arial"/>
          <w:bCs/>
          <w:sz w:val="28"/>
          <w:szCs w:val="28"/>
        </w:rPr>
      </w:pPr>
      <w:r w:rsidRPr="008D623B">
        <w:rPr>
          <w:rFonts w:ascii="Bookman Old Style" w:hAnsi="Bookman Old Style" w:cs="Arial"/>
          <w:bCs/>
          <w:sz w:val="28"/>
          <w:szCs w:val="28"/>
        </w:rPr>
        <w:lastRenderedPageBreak/>
        <w:t>1.-</w:t>
      </w:r>
      <w:r w:rsidRPr="008D623B">
        <w:rPr>
          <w:rFonts w:ascii="Bookman Old Style" w:hAnsi="Bookman Old Style" w:cs="Arial"/>
          <w:bCs/>
          <w:sz w:val="28"/>
          <w:szCs w:val="28"/>
        </w:rPr>
        <w:tab/>
        <w:t>Ninguna duda ofrece el carácter extraordinario de este recurso constitucional, cuando se trata de revisar pronunciamientos jurisdiccionales, sendero especial que tan sólo se abre paso cuando, en el ejercicio de sus funciones, quien dispensa justicia socava o pone en riesgo las garantías superiores de los litigantes, es decir, frente a un proceder a todas luces arbitrario, grosero o ajeno a la ley, pues, -debe resaltarse-, no cualquier animadversión tiene la virtualidad de quebrantar la autonomía e independencia que les reconoce el artículo 228 de la Constitución Política.</w:t>
      </w:r>
    </w:p>
    <w:p w:rsidR="00157355" w:rsidRPr="008D623B" w:rsidRDefault="00157355" w:rsidP="00157355">
      <w:pPr>
        <w:spacing w:line="360" w:lineRule="auto"/>
        <w:ind w:firstLine="708"/>
        <w:jc w:val="both"/>
        <w:rPr>
          <w:rFonts w:ascii="Bookman Old Style" w:hAnsi="Bookman Old Style" w:cs="Arial"/>
          <w:bCs/>
          <w:sz w:val="28"/>
          <w:szCs w:val="28"/>
        </w:rPr>
      </w:pPr>
    </w:p>
    <w:p w:rsidR="00157355" w:rsidRPr="008D623B" w:rsidRDefault="00157355" w:rsidP="00157355">
      <w:pPr>
        <w:spacing w:line="360" w:lineRule="auto"/>
        <w:ind w:firstLine="708"/>
        <w:jc w:val="both"/>
        <w:rPr>
          <w:rFonts w:ascii="Bookman Old Style" w:hAnsi="Bookman Old Style"/>
          <w:sz w:val="24"/>
          <w:szCs w:val="24"/>
        </w:rPr>
      </w:pPr>
      <w:r w:rsidRPr="008D623B">
        <w:rPr>
          <w:rFonts w:ascii="Bookman Old Style" w:hAnsi="Bookman Old Style"/>
          <w:sz w:val="28"/>
          <w:szCs w:val="28"/>
        </w:rPr>
        <w:t>Así lo ha sostenido de tiempo atrás esta Corporación, al advertir que</w:t>
      </w:r>
      <w:r>
        <w:rPr>
          <w:rFonts w:ascii="Bookman Old Style" w:hAnsi="Bookman Old Style"/>
          <w:sz w:val="28"/>
          <w:szCs w:val="28"/>
        </w:rPr>
        <w:t xml:space="preserve"> en</w:t>
      </w:r>
      <w:r w:rsidRPr="008D623B">
        <w:rPr>
          <w:rFonts w:ascii="Bookman Old Style" w:hAnsi="Bookman Old Style"/>
          <w:sz w:val="28"/>
          <w:szCs w:val="28"/>
        </w:rPr>
        <w:t xml:space="preserve">, </w:t>
      </w:r>
      <w:r w:rsidRPr="008D623B">
        <w:rPr>
          <w:rFonts w:ascii="Bookman Old Style" w:hAnsi="Bookman Old Style"/>
          <w:iCs/>
          <w:sz w:val="28"/>
          <w:szCs w:val="28"/>
          <w:lang w:val="es-MX"/>
        </w:rPr>
        <w:t>«</w:t>
      </w:r>
      <w:r w:rsidRPr="008D623B">
        <w:rPr>
          <w:rFonts w:ascii="Bookman Old Style" w:hAnsi="Bookman Old Style"/>
          <w:i/>
          <w:iCs/>
          <w:sz w:val="28"/>
          <w:szCs w:val="28"/>
          <w:lang w:val="es-MX"/>
        </w:rPr>
        <w:t>el juez de tutela no es el llamado a intervenir a manera de árbitro para determinar cuáles de los planteamientos valorativos y hermenéuticos del juzgador, o de las partes, resultan ser los más acertados</w:t>
      </w:r>
      <w:r>
        <w:rPr>
          <w:rFonts w:ascii="Bookman Old Style" w:hAnsi="Bookman Old Style"/>
          <w:i/>
          <w:iCs/>
          <w:sz w:val="28"/>
          <w:szCs w:val="28"/>
          <w:lang w:val="es-MX"/>
        </w:rPr>
        <w:t xml:space="preserve">» </w:t>
      </w:r>
      <w:r w:rsidRPr="00C2257A">
        <w:rPr>
          <w:rFonts w:ascii="Bookman Old Style" w:hAnsi="Bookman Old Style"/>
          <w:iCs/>
          <w:sz w:val="28"/>
          <w:szCs w:val="28"/>
          <w:lang w:val="es-MX"/>
        </w:rPr>
        <w:t>y</w:t>
      </w:r>
      <w:r>
        <w:rPr>
          <w:rFonts w:ascii="Bookman Old Style" w:hAnsi="Bookman Old Style"/>
          <w:i/>
          <w:iCs/>
          <w:sz w:val="28"/>
          <w:szCs w:val="28"/>
          <w:lang w:val="es-MX"/>
        </w:rPr>
        <w:t>,</w:t>
      </w:r>
      <w:r w:rsidRPr="008D623B">
        <w:rPr>
          <w:rFonts w:ascii="Bookman Old Style" w:hAnsi="Bookman Old Style"/>
          <w:i/>
          <w:iCs/>
          <w:sz w:val="28"/>
          <w:szCs w:val="28"/>
          <w:lang w:val="es-MX"/>
        </w:rPr>
        <w:t xml:space="preserve"> </w:t>
      </w:r>
      <w:r w:rsidRPr="00C2257A">
        <w:rPr>
          <w:rFonts w:ascii="Bookman Old Style" w:hAnsi="Bookman Old Style"/>
          <w:iCs/>
          <w:sz w:val="28"/>
          <w:szCs w:val="28"/>
          <w:lang w:val="es-MX"/>
        </w:rPr>
        <w:t>menos</w:t>
      </w:r>
      <w:r>
        <w:rPr>
          <w:rFonts w:ascii="Bookman Old Style" w:hAnsi="Bookman Old Style"/>
          <w:iCs/>
          <w:sz w:val="28"/>
          <w:szCs w:val="28"/>
          <w:lang w:val="es-MX"/>
        </w:rPr>
        <w:t xml:space="preserve"> aún, </w:t>
      </w:r>
      <w:r w:rsidRPr="00C2257A">
        <w:rPr>
          <w:rFonts w:ascii="Bookman Old Style" w:hAnsi="Bookman Old Style"/>
          <w:i/>
          <w:iCs/>
          <w:sz w:val="28"/>
          <w:szCs w:val="28"/>
          <w:lang w:val="es-MX"/>
        </w:rPr>
        <w:t>«acometer, bajo ese pretexto, (…) una revisión oficiosa del asunto, como si fuese uno de instancia»</w:t>
      </w:r>
      <w:r w:rsidRPr="008D623B">
        <w:rPr>
          <w:rFonts w:ascii="Bookman Old Style" w:hAnsi="Bookman Old Style"/>
          <w:iCs/>
          <w:sz w:val="28"/>
          <w:szCs w:val="28"/>
          <w:lang w:val="es-MX"/>
        </w:rPr>
        <w:t xml:space="preserve"> </w:t>
      </w:r>
      <w:r w:rsidRPr="008D623B">
        <w:rPr>
          <w:rFonts w:ascii="Bookman Old Style" w:hAnsi="Bookman Old Style"/>
          <w:iCs/>
          <w:sz w:val="24"/>
          <w:szCs w:val="28"/>
          <w:lang w:val="es-MX"/>
        </w:rPr>
        <w:t>(</w:t>
      </w:r>
      <w:r w:rsidRPr="008D623B">
        <w:rPr>
          <w:rFonts w:ascii="Bookman Old Style" w:hAnsi="Bookman Old Style"/>
          <w:sz w:val="24"/>
          <w:szCs w:val="28"/>
          <w:lang w:val="es-MX"/>
        </w:rPr>
        <w:t xml:space="preserve">Sentencia de 7 de marzo de 2008, </w:t>
      </w:r>
      <w:proofErr w:type="spellStart"/>
      <w:r w:rsidRPr="008D623B">
        <w:rPr>
          <w:rFonts w:ascii="Bookman Old Style" w:hAnsi="Bookman Old Style"/>
          <w:sz w:val="24"/>
          <w:szCs w:val="28"/>
          <w:lang w:val="es-MX"/>
        </w:rPr>
        <w:t>Exp</w:t>
      </w:r>
      <w:proofErr w:type="spellEnd"/>
      <w:r w:rsidRPr="008D623B">
        <w:rPr>
          <w:rFonts w:ascii="Bookman Old Style" w:hAnsi="Bookman Old Style"/>
          <w:sz w:val="24"/>
          <w:szCs w:val="28"/>
          <w:lang w:val="es-MX"/>
        </w:rPr>
        <w:t>. T. No. 2007-00514-01</w:t>
      </w:r>
      <w:r w:rsidRPr="008D623B">
        <w:rPr>
          <w:rFonts w:ascii="Bookman Old Style" w:hAnsi="Bookman Old Style"/>
          <w:iCs/>
          <w:sz w:val="24"/>
          <w:szCs w:val="28"/>
          <w:lang w:val="es-MX"/>
        </w:rPr>
        <w:t>)</w:t>
      </w:r>
      <w:r w:rsidRPr="008D623B">
        <w:rPr>
          <w:rFonts w:ascii="Bookman Old Style" w:hAnsi="Bookman Old Style"/>
          <w:iCs/>
          <w:sz w:val="28"/>
          <w:szCs w:val="28"/>
          <w:lang w:val="es-MX"/>
        </w:rPr>
        <w:t xml:space="preserve">, </w:t>
      </w:r>
      <w:r>
        <w:rPr>
          <w:rFonts w:ascii="Bookman Old Style" w:hAnsi="Bookman Old Style"/>
          <w:iCs/>
          <w:sz w:val="28"/>
          <w:szCs w:val="28"/>
          <w:lang w:val="es-MX"/>
        </w:rPr>
        <w:t xml:space="preserve">pues ha de tenerse en cuenta que </w:t>
      </w:r>
      <w:r w:rsidRPr="008D623B">
        <w:rPr>
          <w:rFonts w:ascii="Bookman Old Style" w:hAnsi="Bookman Old Style"/>
          <w:iCs/>
          <w:sz w:val="28"/>
          <w:szCs w:val="24"/>
          <w:lang w:val="es-MX"/>
        </w:rPr>
        <w:t>«</w:t>
      </w:r>
      <w:r w:rsidRPr="008D623B">
        <w:rPr>
          <w:rFonts w:ascii="Bookman Old Style" w:hAnsi="Bookman Old Style"/>
          <w:i/>
          <w:sz w:val="28"/>
          <w:szCs w:val="24"/>
        </w:rPr>
        <w:t>la adversidad de la decisión no es por sí misma fundamento que le allane el camino al vencido para perseverar en sus discrepancias frente a lo resuelto por el juez natural</w:t>
      </w:r>
      <w:r w:rsidRPr="008D623B">
        <w:rPr>
          <w:rFonts w:ascii="Bookman Old Style" w:hAnsi="Bookman Old Style"/>
          <w:sz w:val="28"/>
          <w:szCs w:val="24"/>
        </w:rPr>
        <w:t xml:space="preserve">» </w:t>
      </w:r>
      <w:r w:rsidRPr="008D623B">
        <w:rPr>
          <w:rFonts w:ascii="Bookman Old Style" w:hAnsi="Bookman Old Style"/>
          <w:sz w:val="24"/>
          <w:szCs w:val="24"/>
        </w:rPr>
        <w:t xml:space="preserve">(Fallo de 28 de marzo de 2012, </w:t>
      </w:r>
      <w:proofErr w:type="spellStart"/>
      <w:r w:rsidRPr="008D623B">
        <w:rPr>
          <w:rFonts w:ascii="Bookman Old Style" w:hAnsi="Bookman Old Style"/>
          <w:sz w:val="24"/>
          <w:szCs w:val="24"/>
        </w:rPr>
        <w:t>Exp</w:t>
      </w:r>
      <w:proofErr w:type="spellEnd"/>
      <w:r w:rsidRPr="008D623B">
        <w:rPr>
          <w:rFonts w:ascii="Bookman Old Style" w:hAnsi="Bookman Old Style"/>
          <w:sz w:val="24"/>
          <w:szCs w:val="24"/>
        </w:rPr>
        <w:t>. T. No. 54001-22-13-000-2012-00022-01).</w:t>
      </w:r>
    </w:p>
    <w:p w:rsidR="00157355" w:rsidRPr="008D623B" w:rsidRDefault="00157355" w:rsidP="00157355">
      <w:pPr>
        <w:spacing w:line="360" w:lineRule="auto"/>
        <w:ind w:firstLine="708"/>
        <w:jc w:val="both"/>
        <w:rPr>
          <w:rFonts w:ascii="Bookman Old Style" w:hAnsi="Bookman Old Style" w:cs="Arial"/>
          <w:bCs/>
          <w:sz w:val="28"/>
          <w:szCs w:val="28"/>
          <w:lang w:val="es-MX"/>
        </w:rPr>
      </w:pPr>
    </w:p>
    <w:p w:rsidR="00157355" w:rsidRPr="008D623B" w:rsidRDefault="00157355" w:rsidP="00157355">
      <w:pPr>
        <w:pStyle w:val="Sangradetextonormal"/>
        <w:spacing w:after="0" w:line="360" w:lineRule="auto"/>
        <w:ind w:left="0" w:firstLine="709"/>
        <w:jc w:val="both"/>
        <w:textAlignment w:val="auto"/>
        <w:rPr>
          <w:rFonts w:ascii="Bookman Old Style" w:hAnsi="Bookman Old Style" w:cs="Arial"/>
          <w:bCs/>
          <w:sz w:val="28"/>
          <w:szCs w:val="28"/>
        </w:rPr>
      </w:pPr>
      <w:r w:rsidRPr="008D623B">
        <w:rPr>
          <w:rFonts w:ascii="Bookman Old Style" w:hAnsi="Bookman Old Style" w:cs="Arial"/>
          <w:bCs/>
          <w:sz w:val="28"/>
          <w:szCs w:val="28"/>
        </w:rPr>
        <w:t>2.-</w:t>
      </w:r>
      <w:r w:rsidRPr="008D623B">
        <w:rPr>
          <w:rFonts w:ascii="Bookman Old Style" w:hAnsi="Bookman Old Style" w:cs="Arial"/>
          <w:bCs/>
          <w:sz w:val="28"/>
          <w:szCs w:val="28"/>
        </w:rPr>
        <w:tab/>
      </w:r>
      <w:r w:rsidRPr="008D623B">
        <w:rPr>
          <w:rFonts w:ascii="Bookman Old Style" w:hAnsi="Bookman Old Style"/>
          <w:sz w:val="28"/>
          <w:szCs w:val="28"/>
        </w:rPr>
        <w:t xml:space="preserve">Con ese panorama, refulge palmaria la improcedencia de la súplica </w:t>
      </w:r>
      <w:r>
        <w:rPr>
          <w:rFonts w:ascii="Bookman Old Style" w:hAnsi="Bookman Old Style"/>
          <w:sz w:val="28"/>
          <w:szCs w:val="28"/>
        </w:rPr>
        <w:t>de</w:t>
      </w:r>
      <w:r w:rsidRPr="008D623B">
        <w:rPr>
          <w:rFonts w:ascii="Bookman Old Style" w:hAnsi="Bookman Old Style"/>
          <w:sz w:val="28"/>
          <w:szCs w:val="28"/>
        </w:rPr>
        <w:t xml:space="preserve"> </w:t>
      </w:r>
      <w:r>
        <w:rPr>
          <w:rFonts w:ascii="Bookman Old Style" w:hAnsi="Bookman Old Style" w:cs="Arial"/>
          <w:sz w:val="28"/>
          <w:szCs w:val="28"/>
        </w:rPr>
        <w:t>Viajeros S.A.</w:t>
      </w:r>
      <w:r w:rsidRPr="008D623B">
        <w:rPr>
          <w:rFonts w:ascii="Bookman Old Style" w:hAnsi="Bookman Old Style" w:cs="Arial"/>
          <w:sz w:val="28"/>
          <w:szCs w:val="28"/>
        </w:rPr>
        <w:t>, que veladamente busca habilitar en esta sede un debate probatorio que ya se agotó en el curso de</w:t>
      </w:r>
      <w:r>
        <w:rPr>
          <w:rFonts w:ascii="Bookman Old Style" w:hAnsi="Bookman Old Style" w:cs="Arial"/>
          <w:sz w:val="28"/>
          <w:szCs w:val="28"/>
        </w:rPr>
        <w:t xml:space="preserve"> </w:t>
      </w:r>
      <w:r w:rsidRPr="008D623B">
        <w:rPr>
          <w:rFonts w:ascii="Bookman Old Style" w:hAnsi="Bookman Old Style" w:cs="Arial"/>
          <w:sz w:val="28"/>
          <w:szCs w:val="28"/>
        </w:rPr>
        <w:t>l</w:t>
      </w:r>
      <w:r>
        <w:rPr>
          <w:rFonts w:ascii="Bookman Old Style" w:hAnsi="Bookman Old Style" w:cs="Arial"/>
          <w:sz w:val="28"/>
          <w:szCs w:val="28"/>
        </w:rPr>
        <w:t>a</w:t>
      </w:r>
      <w:r w:rsidRPr="008D623B">
        <w:rPr>
          <w:rFonts w:ascii="Bookman Old Style" w:hAnsi="Bookman Old Style" w:cs="Arial"/>
          <w:sz w:val="28"/>
          <w:szCs w:val="28"/>
        </w:rPr>
        <w:t xml:space="preserve"> </w:t>
      </w:r>
      <w:r w:rsidRPr="008D623B">
        <w:rPr>
          <w:rFonts w:ascii="Bookman Old Style" w:hAnsi="Bookman Old Style" w:cs="Arial"/>
          <w:i/>
          <w:sz w:val="28"/>
          <w:szCs w:val="28"/>
        </w:rPr>
        <w:t>«</w:t>
      </w:r>
      <w:r>
        <w:rPr>
          <w:rFonts w:ascii="Bookman Old Style" w:hAnsi="Bookman Old Style" w:cs="Arial"/>
          <w:i/>
          <w:sz w:val="28"/>
          <w:szCs w:val="28"/>
        </w:rPr>
        <w:t>ejecución</w:t>
      </w:r>
      <w:r w:rsidRPr="008D623B">
        <w:rPr>
          <w:rFonts w:ascii="Bookman Old Style" w:hAnsi="Bookman Old Style" w:cs="Arial"/>
          <w:i/>
          <w:sz w:val="28"/>
          <w:szCs w:val="28"/>
        </w:rPr>
        <w:t>»</w:t>
      </w:r>
      <w:r w:rsidRPr="008D623B">
        <w:rPr>
          <w:rFonts w:ascii="Bookman Old Style" w:hAnsi="Bookman Old Style" w:cs="Arial"/>
          <w:sz w:val="28"/>
          <w:szCs w:val="28"/>
        </w:rPr>
        <w:t xml:space="preserve"> </w:t>
      </w:r>
      <w:r>
        <w:rPr>
          <w:rFonts w:ascii="Bookman Old Style" w:hAnsi="Bookman Old Style" w:cs="Arial"/>
          <w:sz w:val="28"/>
          <w:szCs w:val="28"/>
        </w:rPr>
        <w:t>que</w:t>
      </w:r>
      <w:r w:rsidRPr="008D623B">
        <w:rPr>
          <w:rFonts w:ascii="Bookman Old Style" w:hAnsi="Bookman Old Style" w:cs="Arial"/>
          <w:sz w:val="28"/>
          <w:szCs w:val="28"/>
        </w:rPr>
        <w:t xml:space="preserve"> adelanta contra</w:t>
      </w:r>
      <w:r>
        <w:rPr>
          <w:rFonts w:ascii="Bookman Old Style" w:hAnsi="Bookman Old Style" w:cs="Arial"/>
          <w:sz w:val="28"/>
          <w:szCs w:val="28"/>
        </w:rPr>
        <w:t xml:space="preserve"> la </w:t>
      </w:r>
      <w:r>
        <w:rPr>
          <w:rFonts w:ascii="Bookman Old Style" w:hAnsi="Bookman Old Style" w:cs="Arial"/>
          <w:sz w:val="28"/>
          <w:szCs w:val="28"/>
          <w:lang w:val="es-CO"/>
        </w:rPr>
        <w:t xml:space="preserve">Fundación para el Desarrollo y la Solidaridad </w:t>
      </w:r>
      <w:r w:rsidRPr="00D63A58">
        <w:rPr>
          <w:rFonts w:ascii="Bookman Old Style" w:hAnsi="Bookman Old Style" w:cs="Arial"/>
          <w:i/>
          <w:sz w:val="28"/>
          <w:szCs w:val="28"/>
          <w:lang w:val="es-CO"/>
        </w:rPr>
        <w:t>«</w:t>
      </w:r>
      <w:proofErr w:type="spellStart"/>
      <w:r w:rsidRPr="00D63A58">
        <w:rPr>
          <w:rFonts w:ascii="Bookman Old Style" w:hAnsi="Bookman Old Style" w:cs="Arial"/>
          <w:i/>
          <w:sz w:val="28"/>
          <w:szCs w:val="28"/>
          <w:lang w:val="es-CO"/>
        </w:rPr>
        <w:t>Fundesol</w:t>
      </w:r>
      <w:proofErr w:type="spellEnd"/>
      <w:r w:rsidRPr="00D63A58">
        <w:rPr>
          <w:rFonts w:ascii="Bookman Old Style" w:hAnsi="Bookman Old Style" w:cs="Arial"/>
          <w:i/>
          <w:sz w:val="28"/>
          <w:szCs w:val="28"/>
          <w:lang w:val="es-CO"/>
        </w:rPr>
        <w:t>»</w:t>
      </w:r>
      <w:r w:rsidRPr="008D623B">
        <w:rPr>
          <w:rFonts w:ascii="Bookman Old Style" w:hAnsi="Bookman Old Style" w:cs="Arial"/>
          <w:sz w:val="28"/>
          <w:szCs w:val="28"/>
        </w:rPr>
        <w:t xml:space="preserve">, que, -por desfavorable-, no puede tildarse de </w:t>
      </w:r>
      <w:r w:rsidRPr="008D623B">
        <w:rPr>
          <w:rFonts w:ascii="Bookman Old Style" w:hAnsi="Bookman Old Style" w:cs="Arial"/>
          <w:bCs/>
          <w:sz w:val="28"/>
          <w:szCs w:val="28"/>
        </w:rPr>
        <w:t xml:space="preserve">caprichoso o subjetivo. </w:t>
      </w:r>
    </w:p>
    <w:p w:rsidR="00157355" w:rsidRPr="008D623B" w:rsidRDefault="00157355" w:rsidP="00157355">
      <w:pPr>
        <w:spacing w:line="360" w:lineRule="auto"/>
        <w:ind w:firstLine="708"/>
        <w:jc w:val="both"/>
        <w:rPr>
          <w:rFonts w:ascii="Bookman Old Style" w:hAnsi="Bookman Old Style" w:cs="Arial"/>
          <w:bCs/>
          <w:sz w:val="28"/>
          <w:szCs w:val="28"/>
        </w:rPr>
      </w:pPr>
    </w:p>
    <w:p w:rsidR="00157355" w:rsidRPr="005C2B40" w:rsidRDefault="00157355" w:rsidP="00157355">
      <w:pPr>
        <w:spacing w:line="360" w:lineRule="auto"/>
        <w:ind w:firstLine="708"/>
        <w:jc w:val="both"/>
        <w:rPr>
          <w:rFonts w:ascii="Bookman Old Style" w:hAnsi="Bookman Old Style" w:cs="Arial"/>
          <w:bCs/>
          <w:sz w:val="28"/>
          <w:szCs w:val="28"/>
        </w:rPr>
      </w:pPr>
      <w:r w:rsidRPr="008D623B">
        <w:rPr>
          <w:rFonts w:ascii="Bookman Old Style" w:hAnsi="Bookman Old Style" w:cs="Arial"/>
          <w:bCs/>
          <w:sz w:val="28"/>
          <w:szCs w:val="28"/>
        </w:rPr>
        <w:t>En efecto, acusada la providencia de 2</w:t>
      </w:r>
      <w:r>
        <w:rPr>
          <w:rFonts w:ascii="Bookman Old Style" w:hAnsi="Bookman Old Style" w:cs="Arial"/>
          <w:bCs/>
          <w:sz w:val="28"/>
          <w:szCs w:val="28"/>
        </w:rPr>
        <w:t xml:space="preserve">3 de septiembre de </w:t>
      </w:r>
      <w:r w:rsidRPr="008D623B">
        <w:rPr>
          <w:rFonts w:ascii="Bookman Old Style" w:hAnsi="Bookman Old Style" w:cs="Arial"/>
          <w:bCs/>
          <w:sz w:val="28"/>
          <w:szCs w:val="28"/>
        </w:rPr>
        <w:t xml:space="preserve">2019 </w:t>
      </w:r>
      <w:r w:rsidRPr="008D623B">
        <w:rPr>
          <w:rFonts w:ascii="Bookman Old Style" w:hAnsi="Bookman Old Style" w:cs="Arial"/>
          <w:bCs/>
          <w:sz w:val="24"/>
          <w:szCs w:val="28"/>
        </w:rPr>
        <w:t>(</w:t>
      </w:r>
      <w:proofErr w:type="spellStart"/>
      <w:r w:rsidRPr="008D623B">
        <w:rPr>
          <w:rFonts w:ascii="Bookman Old Style" w:hAnsi="Bookman Old Style" w:cs="Arial"/>
          <w:bCs/>
          <w:sz w:val="24"/>
          <w:szCs w:val="28"/>
        </w:rPr>
        <w:t>fls</w:t>
      </w:r>
      <w:proofErr w:type="spellEnd"/>
      <w:r w:rsidRPr="008D623B">
        <w:rPr>
          <w:rFonts w:ascii="Bookman Old Style" w:hAnsi="Bookman Old Style" w:cs="Arial"/>
          <w:bCs/>
          <w:sz w:val="24"/>
          <w:szCs w:val="28"/>
        </w:rPr>
        <w:t>. 1</w:t>
      </w:r>
      <w:r>
        <w:rPr>
          <w:rFonts w:ascii="Bookman Old Style" w:hAnsi="Bookman Old Style" w:cs="Arial"/>
          <w:bCs/>
          <w:sz w:val="24"/>
          <w:szCs w:val="28"/>
        </w:rPr>
        <w:t>49</w:t>
      </w:r>
      <w:r w:rsidRPr="008D623B">
        <w:rPr>
          <w:rFonts w:ascii="Bookman Old Style" w:hAnsi="Bookman Old Style" w:cs="Arial"/>
          <w:bCs/>
          <w:sz w:val="24"/>
          <w:szCs w:val="28"/>
        </w:rPr>
        <w:t xml:space="preserve"> a 1</w:t>
      </w:r>
      <w:r>
        <w:rPr>
          <w:rFonts w:ascii="Bookman Old Style" w:hAnsi="Bookman Old Style" w:cs="Arial"/>
          <w:bCs/>
          <w:sz w:val="24"/>
          <w:szCs w:val="28"/>
        </w:rPr>
        <w:t>5</w:t>
      </w:r>
      <w:r w:rsidRPr="008D623B">
        <w:rPr>
          <w:rFonts w:ascii="Bookman Old Style" w:hAnsi="Bookman Old Style" w:cs="Arial"/>
          <w:bCs/>
          <w:sz w:val="24"/>
          <w:szCs w:val="28"/>
        </w:rPr>
        <w:t>3)</w:t>
      </w:r>
      <w:r w:rsidRPr="008D623B">
        <w:rPr>
          <w:rFonts w:ascii="Bookman Old Style" w:hAnsi="Bookman Old Style" w:cs="Arial"/>
          <w:bCs/>
          <w:sz w:val="28"/>
          <w:szCs w:val="28"/>
        </w:rPr>
        <w:t xml:space="preserve">, no </w:t>
      </w:r>
      <w:r>
        <w:rPr>
          <w:rFonts w:ascii="Bookman Old Style" w:hAnsi="Bookman Old Style" w:cs="Arial"/>
          <w:bCs/>
          <w:sz w:val="28"/>
          <w:szCs w:val="28"/>
        </w:rPr>
        <w:t>se observa ningún menoscabo en é</w:t>
      </w:r>
      <w:r w:rsidRPr="008D623B">
        <w:rPr>
          <w:rFonts w:ascii="Bookman Old Style" w:hAnsi="Bookman Old Style" w:cs="Arial"/>
          <w:bCs/>
          <w:sz w:val="28"/>
          <w:szCs w:val="28"/>
        </w:rPr>
        <w:t xml:space="preserve">sta, pues nótese que para definir el </w:t>
      </w:r>
      <w:r w:rsidRPr="008D623B">
        <w:rPr>
          <w:rFonts w:ascii="Bookman Old Style" w:hAnsi="Bookman Old Style" w:cs="Arial"/>
          <w:bCs/>
          <w:i/>
          <w:sz w:val="28"/>
          <w:szCs w:val="28"/>
        </w:rPr>
        <w:t xml:space="preserve">«recurso de apelación» </w:t>
      </w:r>
      <w:r>
        <w:rPr>
          <w:rFonts w:ascii="Bookman Old Style" w:hAnsi="Bookman Old Style" w:cs="Arial"/>
          <w:bCs/>
          <w:sz w:val="28"/>
          <w:szCs w:val="28"/>
        </w:rPr>
        <w:t>de</w:t>
      </w:r>
      <w:r w:rsidRPr="008D623B">
        <w:rPr>
          <w:rFonts w:ascii="Bookman Old Style" w:hAnsi="Bookman Old Style" w:cs="Arial"/>
          <w:bCs/>
          <w:sz w:val="28"/>
          <w:szCs w:val="28"/>
        </w:rPr>
        <w:t xml:space="preserve">l </w:t>
      </w:r>
      <w:r w:rsidRPr="008D623B">
        <w:rPr>
          <w:rFonts w:ascii="Bookman Old Style" w:hAnsi="Bookman Old Style" w:cs="Arial"/>
          <w:bCs/>
          <w:i/>
          <w:sz w:val="28"/>
          <w:szCs w:val="28"/>
        </w:rPr>
        <w:t>«</w:t>
      </w:r>
      <w:r>
        <w:rPr>
          <w:rFonts w:ascii="Bookman Old Style" w:hAnsi="Bookman Old Style" w:cs="Arial"/>
          <w:bCs/>
          <w:i/>
          <w:sz w:val="28"/>
          <w:szCs w:val="28"/>
        </w:rPr>
        <w:t>auto dictado el 8 de julio de 2019</w:t>
      </w:r>
      <w:r w:rsidRPr="008D623B">
        <w:rPr>
          <w:rFonts w:ascii="Bookman Old Style" w:hAnsi="Bookman Old Style" w:cs="Arial"/>
          <w:bCs/>
          <w:i/>
          <w:sz w:val="28"/>
          <w:szCs w:val="28"/>
        </w:rPr>
        <w:t>»</w:t>
      </w:r>
      <w:r w:rsidRPr="008D623B">
        <w:rPr>
          <w:rFonts w:ascii="Bookman Old Style" w:hAnsi="Bookman Old Style" w:cs="Arial"/>
          <w:bCs/>
          <w:sz w:val="28"/>
          <w:szCs w:val="28"/>
        </w:rPr>
        <w:t>,</w:t>
      </w:r>
      <w:r>
        <w:rPr>
          <w:rFonts w:ascii="Bookman Old Style" w:hAnsi="Bookman Old Style" w:cs="Arial"/>
          <w:bCs/>
          <w:sz w:val="28"/>
          <w:szCs w:val="28"/>
        </w:rPr>
        <w:t xml:space="preserve"> </w:t>
      </w:r>
      <w:r w:rsidRPr="008D623B">
        <w:rPr>
          <w:rFonts w:ascii="Bookman Old Style" w:hAnsi="Bookman Old Style" w:cs="Arial"/>
          <w:bCs/>
          <w:sz w:val="28"/>
          <w:szCs w:val="28"/>
        </w:rPr>
        <w:t xml:space="preserve">interpuesto por </w:t>
      </w:r>
      <w:r>
        <w:rPr>
          <w:rFonts w:ascii="Bookman Old Style" w:hAnsi="Bookman Old Style" w:cs="Arial"/>
          <w:bCs/>
          <w:sz w:val="28"/>
          <w:szCs w:val="28"/>
        </w:rPr>
        <w:t xml:space="preserve">las promotoras del </w:t>
      </w:r>
      <w:r w:rsidRPr="005E490D">
        <w:rPr>
          <w:rFonts w:ascii="Bookman Old Style" w:hAnsi="Bookman Old Style" w:cs="Arial"/>
          <w:bCs/>
          <w:i/>
          <w:sz w:val="28"/>
          <w:szCs w:val="28"/>
        </w:rPr>
        <w:t>«</w:t>
      </w:r>
      <w:r>
        <w:rPr>
          <w:rFonts w:ascii="Bookman Old Style" w:hAnsi="Bookman Old Style" w:cs="Arial"/>
          <w:bCs/>
          <w:i/>
          <w:sz w:val="28"/>
          <w:szCs w:val="28"/>
        </w:rPr>
        <w:t>incidente de levantamiento de medidas cautelares</w:t>
      </w:r>
      <w:r w:rsidRPr="005E490D">
        <w:rPr>
          <w:rFonts w:ascii="Bookman Old Style" w:hAnsi="Bookman Old Style" w:cs="Arial"/>
          <w:bCs/>
          <w:i/>
          <w:sz w:val="28"/>
          <w:szCs w:val="28"/>
        </w:rPr>
        <w:t>»</w:t>
      </w:r>
      <w:r w:rsidRPr="008D623B">
        <w:rPr>
          <w:rFonts w:ascii="Bookman Old Style" w:hAnsi="Bookman Old Style" w:cs="Arial"/>
          <w:bCs/>
          <w:sz w:val="28"/>
          <w:szCs w:val="28"/>
        </w:rPr>
        <w:t>,</w:t>
      </w:r>
      <w:r>
        <w:rPr>
          <w:rFonts w:ascii="Bookman Old Style" w:hAnsi="Bookman Old Style" w:cs="Arial"/>
          <w:bCs/>
          <w:sz w:val="28"/>
          <w:szCs w:val="28"/>
        </w:rPr>
        <w:t xml:space="preserve"> </w:t>
      </w:r>
      <w:r w:rsidRPr="008D623B">
        <w:rPr>
          <w:rFonts w:ascii="Bookman Old Style" w:hAnsi="Bookman Old Style" w:cs="Arial"/>
          <w:bCs/>
          <w:sz w:val="28"/>
          <w:szCs w:val="28"/>
        </w:rPr>
        <w:t>l</w:t>
      </w:r>
      <w:r>
        <w:rPr>
          <w:rFonts w:ascii="Bookman Old Style" w:hAnsi="Bookman Old Style" w:cs="Arial"/>
          <w:bCs/>
          <w:sz w:val="28"/>
          <w:szCs w:val="28"/>
        </w:rPr>
        <w:t xml:space="preserve">a Sala Civil Familia del Tribunal Superior del Distrito Judicial de Santa Marta, -a partir del concepto que incorpora el canon 7º de la Ley 80 de 1993 y los lineamientos que ha fijado el Consejo de Estado sobre la </w:t>
      </w:r>
      <w:r w:rsidRPr="005C2B40">
        <w:rPr>
          <w:rFonts w:ascii="Bookman Old Style" w:hAnsi="Bookman Old Style" w:cs="Arial"/>
          <w:bCs/>
          <w:i/>
          <w:sz w:val="28"/>
          <w:szCs w:val="28"/>
        </w:rPr>
        <w:t>«naturaleza de las uniones temporales»</w:t>
      </w:r>
      <w:r>
        <w:rPr>
          <w:rFonts w:ascii="Bookman Old Style" w:hAnsi="Bookman Old Style" w:cs="Arial"/>
          <w:bCs/>
          <w:sz w:val="28"/>
          <w:szCs w:val="28"/>
        </w:rPr>
        <w:t xml:space="preserve">-, desvirtuó uno de los principales criterios que le sirvieron al </w:t>
      </w:r>
      <w:r>
        <w:rPr>
          <w:rFonts w:ascii="Bookman Old Style" w:hAnsi="Bookman Old Style" w:cs="Arial"/>
          <w:bCs/>
          <w:i/>
          <w:sz w:val="28"/>
          <w:szCs w:val="28"/>
        </w:rPr>
        <w:t xml:space="preserve">a quo </w:t>
      </w:r>
      <w:r>
        <w:rPr>
          <w:rFonts w:ascii="Bookman Old Style" w:hAnsi="Bookman Old Style" w:cs="Arial"/>
          <w:bCs/>
          <w:sz w:val="28"/>
          <w:szCs w:val="28"/>
        </w:rPr>
        <w:t xml:space="preserve">para negar la participación de las recurrentes y en tal sentido señaló: </w:t>
      </w:r>
    </w:p>
    <w:p w:rsidR="00157355" w:rsidRDefault="00157355" w:rsidP="00157355">
      <w:pPr>
        <w:spacing w:line="360" w:lineRule="auto"/>
        <w:ind w:firstLine="708"/>
        <w:jc w:val="both"/>
        <w:rPr>
          <w:rFonts w:ascii="Bookman Old Style" w:hAnsi="Bookman Old Style" w:cs="Arial"/>
          <w:bCs/>
          <w:sz w:val="28"/>
          <w:szCs w:val="28"/>
        </w:rPr>
      </w:pPr>
    </w:p>
    <w:p w:rsidR="00157355" w:rsidRPr="006B10F7" w:rsidRDefault="00157355" w:rsidP="00157355">
      <w:pPr>
        <w:spacing w:line="360" w:lineRule="auto"/>
        <w:ind w:left="708"/>
        <w:jc w:val="both"/>
        <w:rPr>
          <w:rFonts w:ascii="Bookman Old Style" w:hAnsi="Bookman Old Style" w:cs="Arial"/>
          <w:bCs/>
          <w:i/>
          <w:sz w:val="24"/>
          <w:szCs w:val="28"/>
        </w:rPr>
      </w:pPr>
      <w:r>
        <w:rPr>
          <w:rFonts w:ascii="Bookman Old Style" w:hAnsi="Bookman Old Style" w:cs="Arial"/>
          <w:bCs/>
          <w:i/>
          <w:sz w:val="24"/>
          <w:szCs w:val="28"/>
        </w:rPr>
        <w:t xml:space="preserve">(…) aun cuando las uniones temporales carecen de personería jurídica, no por ello están impedidas para comparecer, ya como </w:t>
      </w:r>
      <w:r>
        <w:rPr>
          <w:rFonts w:ascii="Bookman Old Style" w:hAnsi="Bookman Old Style" w:cs="Arial"/>
          <w:bCs/>
          <w:i/>
          <w:sz w:val="24"/>
          <w:szCs w:val="28"/>
        </w:rPr>
        <w:lastRenderedPageBreak/>
        <w:t>demandantes, demandadas o intervinientes, de ahí que las aquí  solicitantes de levantamiento de las medidas decretadas en los autos del 12 de junio y 14 de agosto de 2018 están autorizadas para acudir a estos escenarios adjetivos.</w:t>
      </w:r>
    </w:p>
    <w:p w:rsidR="00157355" w:rsidRDefault="00157355" w:rsidP="00157355">
      <w:pPr>
        <w:spacing w:line="360" w:lineRule="auto"/>
        <w:ind w:firstLine="708"/>
        <w:jc w:val="both"/>
        <w:rPr>
          <w:rFonts w:ascii="Bookman Old Style" w:hAnsi="Bookman Old Style" w:cs="Arial"/>
          <w:bCs/>
          <w:sz w:val="28"/>
          <w:szCs w:val="28"/>
        </w:rPr>
      </w:pPr>
    </w:p>
    <w:p w:rsidR="00157355" w:rsidRPr="001F1631" w:rsidRDefault="00157355" w:rsidP="00157355">
      <w:pPr>
        <w:spacing w:line="360" w:lineRule="auto"/>
        <w:ind w:firstLine="708"/>
        <w:jc w:val="both"/>
        <w:rPr>
          <w:rFonts w:ascii="Bookman Old Style" w:hAnsi="Bookman Old Style" w:cs="Arial"/>
          <w:bCs/>
          <w:sz w:val="28"/>
          <w:szCs w:val="28"/>
          <w:highlight w:val="yellow"/>
        </w:rPr>
      </w:pPr>
      <w:r>
        <w:rPr>
          <w:rFonts w:ascii="Bookman Old Style" w:hAnsi="Bookman Old Style" w:cs="Arial"/>
          <w:bCs/>
          <w:sz w:val="28"/>
          <w:szCs w:val="28"/>
        </w:rPr>
        <w:t xml:space="preserve">Debe subrayarse que esta interpretación, en rigor, no luce antojadiza y por lo demás se muestra acorde con el criterio que ese mismo Tribunal fijó al momento de definir la </w:t>
      </w:r>
      <w:r w:rsidRPr="00D15A67">
        <w:rPr>
          <w:rFonts w:ascii="Bookman Old Style" w:hAnsi="Bookman Old Style" w:cs="Arial"/>
          <w:bCs/>
          <w:i/>
          <w:sz w:val="28"/>
          <w:szCs w:val="28"/>
        </w:rPr>
        <w:t>«tutela promovida por la Unión Temporal PAE Nariño 2017 en contra del Juzgado Primero Civil del Circuito de Santa Marta»</w:t>
      </w:r>
      <w:r>
        <w:rPr>
          <w:rFonts w:ascii="Bookman Old Style" w:hAnsi="Bookman Old Style" w:cs="Arial"/>
          <w:bCs/>
          <w:i/>
          <w:sz w:val="28"/>
          <w:szCs w:val="28"/>
        </w:rPr>
        <w:t xml:space="preserve">, </w:t>
      </w:r>
      <w:r>
        <w:rPr>
          <w:rFonts w:ascii="Bookman Old Style" w:hAnsi="Bookman Old Style" w:cs="Arial"/>
          <w:bCs/>
          <w:sz w:val="28"/>
          <w:szCs w:val="28"/>
        </w:rPr>
        <w:t xml:space="preserve">radicada bajo el número 2019-00092-00, donde precisó que si bien ese ente no ostentaba la calidad de </w:t>
      </w:r>
      <w:r w:rsidRPr="00164AFB">
        <w:rPr>
          <w:rFonts w:ascii="Bookman Old Style" w:hAnsi="Bookman Old Style" w:cs="Arial"/>
          <w:bCs/>
          <w:i/>
          <w:sz w:val="28"/>
          <w:szCs w:val="28"/>
        </w:rPr>
        <w:t>«parte</w:t>
      </w:r>
      <w:r>
        <w:rPr>
          <w:rFonts w:ascii="Bookman Old Style" w:hAnsi="Bookman Old Style" w:cs="Arial"/>
          <w:bCs/>
          <w:i/>
          <w:sz w:val="28"/>
          <w:szCs w:val="28"/>
        </w:rPr>
        <w:t xml:space="preserve"> dentro del </w:t>
      </w:r>
      <w:r w:rsidRPr="001F1631">
        <w:rPr>
          <w:rFonts w:ascii="Bookman Old Style" w:hAnsi="Bookman Old Style" w:cs="Arial"/>
          <w:bCs/>
          <w:i/>
          <w:sz w:val="28"/>
          <w:szCs w:val="28"/>
          <w:highlight w:val="yellow"/>
        </w:rPr>
        <w:t>proceso ejecutivo»,</w:t>
      </w:r>
      <w:r w:rsidRPr="001F1631">
        <w:rPr>
          <w:rFonts w:ascii="Bookman Old Style" w:hAnsi="Bookman Old Style" w:cs="Arial"/>
          <w:bCs/>
          <w:sz w:val="28"/>
          <w:szCs w:val="28"/>
          <w:highlight w:val="yellow"/>
        </w:rPr>
        <w:t xml:space="preserve"> ello no obstaba para reconocerle un </w:t>
      </w:r>
      <w:r w:rsidRPr="001F1631">
        <w:rPr>
          <w:rFonts w:ascii="Bookman Old Style" w:hAnsi="Bookman Old Style" w:cs="Arial"/>
          <w:bCs/>
          <w:i/>
          <w:sz w:val="28"/>
          <w:szCs w:val="28"/>
          <w:highlight w:val="yellow"/>
        </w:rPr>
        <w:t>«</w:t>
      </w:r>
      <w:r w:rsidRPr="001F1631">
        <w:rPr>
          <w:rFonts w:ascii="Bookman Old Style" w:hAnsi="Bookman Old Style" w:cs="Arial"/>
          <w:b/>
          <w:bCs/>
          <w:i/>
          <w:sz w:val="28"/>
          <w:szCs w:val="28"/>
          <w:highlight w:val="yellow"/>
        </w:rPr>
        <w:t>interés legítimo en el desembargo de los dineros que fueron remitidos</w:t>
      </w:r>
      <w:r w:rsidRPr="001F1631">
        <w:rPr>
          <w:rFonts w:ascii="Bookman Old Style" w:hAnsi="Bookman Old Style" w:cs="Arial"/>
          <w:bCs/>
          <w:i/>
          <w:sz w:val="28"/>
          <w:szCs w:val="28"/>
          <w:highlight w:val="yellow"/>
        </w:rPr>
        <w:t xml:space="preserve">», </w:t>
      </w:r>
      <w:r w:rsidRPr="001F1631">
        <w:rPr>
          <w:rFonts w:ascii="Bookman Old Style" w:hAnsi="Bookman Old Style" w:cs="Arial"/>
          <w:bCs/>
          <w:sz w:val="28"/>
          <w:szCs w:val="28"/>
          <w:highlight w:val="yellow"/>
        </w:rPr>
        <w:t xml:space="preserve">discernimiento que cobró firmeza al no ser refutado por ninguno de los sujetos llamados a ese trámite, particularmente, por la hoy accionante Viajeros S.A., pese a su vinculación </w:t>
      </w:r>
      <w:r w:rsidRPr="001F1631">
        <w:rPr>
          <w:rFonts w:ascii="Bookman Old Style" w:hAnsi="Bookman Old Style" w:cs="Arial"/>
          <w:bCs/>
          <w:sz w:val="24"/>
          <w:szCs w:val="28"/>
          <w:highlight w:val="yellow"/>
        </w:rPr>
        <w:t xml:space="preserve">(cfr. </w:t>
      </w:r>
      <w:proofErr w:type="spellStart"/>
      <w:r w:rsidRPr="001F1631">
        <w:rPr>
          <w:rFonts w:ascii="Bookman Old Style" w:hAnsi="Bookman Old Style" w:cs="Arial"/>
          <w:bCs/>
          <w:sz w:val="24"/>
          <w:szCs w:val="28"/>
          <w:highlight w:val="yellow"/>
        </w:rPr>
        <w:t>fls</w:t>
      </w:r>
      <w:proofErr w:type="spellEnd"/>
      <w:r w:rsidRPr="001F1631">
        <w:rPr>
          <w:rFonts w:ascii="Bookman Old Style" w:hAnsi="Bookman Old Style" w:cs="Arial"/>
          <w:bCs/>
          <w:sz w:val="24"/>
          <w:szCs w:val="28"/>
          <w:highlight w:val="yellow"/>
        </w:rPr>
        <w:t>. 32 a 44)</w:t>
      </w:r>
      <w:r w:rsidRPr="001F1631">
        <w:rPr>
          <w:rFonts w:ascii="Bookman Old Style" w:hAnsi="Bookman Old Style" w:cs="Arial"/>
          <w:bCs/>
          <w:sz w:val="28"/>
          <w:szCs w:val="28"/>
          <w:highlight w:val="yellow"/>
        </w:rPr>
        <w:t xml:space="preserve">.  </w:t>
      </w:r>
    </w:p>
    <w:p w:rsidR="00157355" w:rsidRPr="001F1631" w:rsidRDefault="00157355" w:rsidP="00157355">
      <w:pPr>
        <w:spacing w:line="360" w:lineRule="auto"/>
        <w:ind w:firstLine="708"/>
        <w:jc w:val="both"/>
        <w:rPr>
          <w:rFonts w:ascii="Bookman Old Style" w:hAnsi="Bookman Old Style" w:cs="Arial"/>
          <w:bCs/>
          <w:sz w:val="28"/>
          <w:szCs w:val="28"/>
          <w:highlight w:val="yellow"/>
        </w:rPr>
      </w:pPr>
    </w:p>
    <w:p w:rsidR="00157355" w:rsidRDefault="00157355" w:rsidP="00157355">
      <w:pPr>
        <w:spacing w:line="360" w:lineRule="auto"/>
        <w:ind w:right="51" w:firstLine="709"/>
        <w:jc w:val="both"/>
        <w:rPr>
          <w:rFonts w:ascii="Bookman Old Style" w:hAnsi="Bookman Old Style" w:cs="Arial"/>
          <w:sz w:val="28"/>
          <w:szCs w:val="28"/>
        </w:rPr>
      </w:pPr>
      <w:r w:rsidRPr="001F1631">
        <w:rPr>
          <w:rFonts w:ascii="Bookman Old Style" w:hAnsi="Bookman Old Style" w:cs="Arial"/>
          <w:bCs/>
          <w:sz w:val="28"/>
          <w:szCs w:val="28"/>
          <w:highlight w:val="yellow"/>
        </w:rPr>
        <w:t xml:space="preserve">En este punto, no debe perderse de vista que </w:t>
      </w:r>
      <w:r w:rsidRPr="001F1631">
        <w:rPr>
          <w:rFonts w:ascii="Bookman Old Style" w:hAnsi="Bookman Old Style" w:cs="Arial"/>
          <w:sz w:val="28"/>
          <w:szCs w:val="28"/>
          <w:highlight w:val="yellow"/>
        </w:rPr>
        <w:t xml:space="preserve">a </w:t>
      </w:r>
      <w:r w:rsidRPr="001F1631">
        <w:rPr>
          <w:rFonts w:ascii="Bookman Old Style" w:hAnsi="Bookman Old Style" w:cs="Arial"/>
          <w:bCs/>
          <w:color w:val="000000"/>
          <w:sz w:val="28"/>
          <w:szCs w:val="28"/>
          <w:highlight w:val="yellow"/>
        </w:rPr>
        <w:t xml:space="preserve">este singular camino tan sólo se puede acudir luego de agotar infructuosamente todos los medios ordinarios de </w:t>
      </w:r>
      <w:r w:rsidRPr="001F1631">
        <w:rPr>
          <w:rFonts w:ascii="Bookman Old Style" w:hAnsi="Bookman Old Style" w:cs="Arial"/>
          <w:bCs/>
          <w:i/>
          <w:color w:val="000000"/>
          <w:sz w:val="28"/>
          <w:szCs w:val="28"/>
          <w:highlight w:val="yellow"/>
        </w:rPr>
        <w:t>«defensa judicial»</w:t>
      </w:r>
      <w:r w:rsidRPr="001F1631">
        <w:rPr>
          <w:rFonts w:ascii="Bookman Old Style" w:hAnsi="Bookman Old Style" w:cs="Arial"/>
          <w:bCs/>
          <w:color w:val="000000"/>
          <w:sz w:val="28"/>
          <w:szCs w:val="28"/>
          <w:highlight w:val="yellow"/>
        </w:rPr>
        <w:t xml:space="preserve"> o cuando éstos resulten ineficaces o no existan,</w:t>
      </w:r>
      <w:r>
        <w:rPr>
          <w:rFonts w:ascii="Bookman Old Style" w:hAnsi="Bookman Old Style" w:cs="Arial"/>
          <w:bCs/>
          <w:color w:val="000000"/>
          <w:sz w:val="28"/>
          <w:szCs w:val="28"/>
        </w:rPr>
        <w:t xml:space="preserve"> </w:t>
      </w:r>
      <w:r>
        <w:rPr>
          <w:rFonts w:ascii="Bookman Old Style" w:hAnsi="Bookman Old Style" w:cs="Arial"/>
          <w:bCs/>
          <w:color w:val="000000"/>
          <w:sz w:val="28"/>
          <w:szCs w:val="28"/>
        </w:rPr>
        <w:lastRenderedPageBreak/>
        <w:t xml:space="preserve">según lo pregona el artículo 86 superior </w:t>
      </w:r>
      <w:r w:rsidRPr="00CB57E6">
        <w:rPr>
          <w:rFonts w:ascii="Bookman Old Style" w:hAnsi="Bookman Old Style" w:cs="Arial"/>
          <w:sz w:val="24"/>
          <w:szCs w:val="28"/>
        </w:rPr>
        <w:t>(</w:t>
      </w:r>
      <w:r>
        <w:rPr>
          <w:rFonts w:ascii="Bookman Old Style" w:hAnsi="Bookman Old Style" w:cs="Arial"/>
          <w:sz w:val="24"/>
          <w:szCs w:val="28"/>
        </w:rPr>
        <w:t xml:space="preserve">cfr. </w:t>
      </w:r>
      <w:r w:rsidRPr="00CB57E6">
        <w:rPr>
          <w:rFonts w:ascii="Bookman Old Style" w:hAnsi="Bookman Old Style" w:cs="Arial"/>
          <w:sz w:val="24"/>
          <w:szCs w:val="28"/>
        </w:rPr>
        <w:t>CSJ STC21743-2017, C.C. SU627-15)</w:t>
      </w:r>
      <w:r>
        <w:rPr>
          <w:rFonts w:ascii="Bookman Old Style" w:hAnsi="Bookman Old Style" w:cs="Arial"/>
          <w:sz w:val="28"/>
          <w:szCs w:val="28"/>
        </w:rPr>
        <w:t xml:space="preserve">, ya que como lo ha reiterado la Corte, </w:t>
      </w:r>
    </w:p>
    <w:p w:rsidR="00157355" w:rsidRDefault="00157355" w:rsidP="00157355">
      <w:pPr>
        <w:spacing w:line="360" w:lineRule="auto"/>
        <w:ind w:right="51" w:firstLine="709"/>
        <w:jc w:val="both"/>
        <w:rPr>
          <w:rFonts w:ascii="Bookman Old Style" w:hAnsi="Bookman Old Style" w:cs="Arial"/>
          <w:sz w:val="28"/>
          <w:szCs w:val="28"/>
        </w:rPr>
      </w:pPr>
    </w:p>
    <w:p w:rsidR="00157355" w:rsidRPr="00A27AE3" w:rsidRDefault="00157355" w:rsidP="00157355">
      <w:pPr>
        <w:spacing w:line="360" w:lineRule="auto"/>
        <w:ind w:left="708"/>
        <w:jc w:val="both"/>
        <w:rPr>
          <w:rFonts w:ascii="Bookman Old Style" w:hAnsi="Bookman Old Style" w:cs="Arial"/>
          <w:bCs/>
          <w:sz w:val="28"/>
          <w:szCs w:val="28"/>
        </w:rPr>
      </w:pPr>
      <w:r>
        <w:rPr>
          <w:rFonts w:ascii="Bookman Old Style" w:hAnsi="Bookman Old Style" w:cs="Arial"/>
          <w:bCs/>
          <w:i/>
          <w:sz w:val="24"/>
          <w:szCs w:val="24"/>
        </w:rPr>
        <w:t>«</w:t>
      </w:r>
      <w:r w:rsidRPr="00872017">
        <w:rPr>
          <w:rFonts w:ascii="Bookman Old Style" w:hAnsi="Bookman Old Style" w:cs="Arial"/>
          <w:bCs/>
          <w:i/>
          <w:sz w:val="24"/>
          <w:szCs w:val="24"/>
        </w:rPr>
        <w:t>el artículo 6° del Decreto 2591 de 1991 que [regula la tutela], estableció como causal de improcedencia la de existir “otros recursos o medios de defensa judiciales”, dejando a salvo igual principio al consagrado por el Constituyente respecto a que la primera se utilizara como “mecanismo transitorio para evitar un perjuicio irremediable”, advirtiendo eso sí que la existencia de tales herramientas sería apreciada “en concreto, en cuanto a su eficacia, atendiendo las circunstancias en que se encuentre el solicitante”</w:t>
      </w:r>
      <w:r w:rsidRPr="003F764A">
        <w:rPr>
          <w:rFonts w:ascii="Bookman Old Style" w:hAnsi="Bookman Old Style" w:cs="Arial"/>
          <w:bCs/>
          <w:sz w:val="28"/>
          <w:szCs w:val="28"/>
        </w:rPr>
        <w:t xml:space="preserve"> </w:t>
      </w:r>
      <w:r>
        <w:rPr>
          <w:rFonts w:ascii="Bookman Old Style" w:hAnsi="Bookman Old Style" w:cs="Arial"/>
          <w:bCs/>
          <w:sz w:val="28"/>
          <w:szCs w:val="28"/>
        </w:rPr>
        <w:t>(</w:t>
      </w:r>
      <w:r w:rsidRPr="00A27AE3">
        <w:rPr>
          <w:rFonts w:ascii="Bookman Old Style" w:hAnsi="Bookman Old Style" w:cs="Arial"/>
          <w:bCs/>
          <w:sz w:val="28"/>
          <w:szCs w:val="28"/>
        </w:rPr>
        <w:t xml:space="preserve">CSJ STC1169-2015). </w:t>
      </w:r>
    </w:p>
    <w:p w:rsidR="00157355" w:rsidRDefault="00157355" w:rsidP="00157355">
      <w:pPr>
        <w:spacing w:line="276" w:lineRule="auto"/>
        <w:ind w:right="51" w:firstLine="709"/>
        <w:jc w:val="both"/>
        <w:rPr>
          <w:rFonts w:ascii="Bookman Old Style" w:hAnsi="Bookman Old Style" w:cs="Arial"/>
          <w:sz w:val="28"/>
          <w:szCs w:val="28"/>
        </w:rPr>
      </w:pPr>
    </w:p>
    <w:p w:rsidR="00157355" w:rsidRPr="00D83877" w:rsidRDefault="00157355" w:rsidP="00157355">
      <w:pPr>
        <w:spacing w:line="360" w:lineRule="auto"/>
        <w:ind w:right="51" w:firstLine="709"/>
        <w:jc w:val="both"/>
        <w:rPr>
          <w:rFonts w:ascii="Bookman Old Style" w:hAnsi="Bookman Old Style" w:cs="Arial"/>
          <w:bCs/>
          <w:sz w:val="28"/>
          <w:szCs w:val="28"/>
        </w:rPr>
      </w:pPr>
      <w:r>
        <w:rPr>
          <w:rFonts w:ascii="Bookman Old Style" w:hAnsi="Bookman Old Style" w:cs="Arial"/>
          <w:sz w:val="28"/>
          <w:szCs w:val="28"/>
        </w:rPr>
        <w:t>Y por la misma senda ha puesto de presente</w:t>
      </w:r>
      <w:r w:rsidRPr="00446CC4">
        <w:rPr>
          <w:rFonts w:ascii="Bookman Old Style" w:hAnsi="Bookman Old Style" w:cs="Arial"/>
          <w:sz w:val="28"/>
          <w:szCs w:val="28"/>
        </w:rPr>
        <w:t xml:space="preserve"> que</w:t>
      </w:r>
      <w:r>
        <w:rPr>
          <w:rFonts w:ascii="Bookman Old Style" w:hAnsi="Bookman Old Style" w:cs="Arial"/>
          <w:sz w:val="28"/>
          <w:szCs w:val="28"/>
        </w:rPr>
        <w:t>,</w:t>
      </w:r>
      <w:r w:rsidRPr="00446CC4">
        <w:rPr>
          <w:rFonts w:ascii="Bookman Old Style" w:hAnsi="Bookman Old Style" w:cs="Arial"/>
          <w:sz w:val="28"/>
          <w:szCs w:val="28"/>
        </w:rPr>
        <w:t xml:space="preserve"> </w:t>
      </w:r>
    </w:p>
    <w:p w:rsidR="00157355" w:rsidRDefault="00157355" w:rsidP="00157355">
      <w:pPr>
        <w:spacing w:line="276" w:lineRule="auto"/>
        <w:jc w:val="both"/>
        <w:rPr>
          <w:rFonts w:ascii="Bookman Old Style" w:hAnsi="Bookman Old Style" w:cs="Arial"/>
          <w:sz w:val="28"/>
          <w:szCs w:val="28"/>
        </w:rPr>
      </w:pPr>
    </w:p>
    <w:p w:rsidR="00157355" w:rsidRDefault="00157355" w:rsidP="00157355">
      <w:pPr>
        <w:spacing w:line="360" w:lineRule="auto"/>
        <w:ind w:left="709"/>
        <w:jc w:val="both"/>
        <w:rPr>
          <w:rFonts w:ascii="Bookman Old Style" w:hAnsi="Bookman Old Style" w:cs="Arial"/>
          <w:i/>
          <w:spacing w:val="-3"/>
          <w:sz w:val="24"/>
          <w:szCs w:val="24"/>
        </w:rPr>
      </w:pPr>
      <w:r>
        <w:rPr>
          <w:rFonts w:ascii="Bookman Old Style" w:hAnsi="Bookman Old Style" w:cs="Arial"/>
          <w:i/>
          <w:spacing w:val="-3"/>
          <w:sz w:val="24"/>
          <w:szCs w:val="24"/>
        </w:rPr>
        <w:t xml:space="preserve">«conforme la decantada jurisprudencia de la Sala, </w:t>
      </w:r>
      <w:r w:rsidRPr="00D43EDD">
        <w:rPr>
          <w:rFonts w:ascii="Bookman Old Style" w:hAnsi="Bookman Old Style" w:cs="Arial"/>
          <w:b/>
          <w:i/>
          <w:spacing w:val="-3"/>
          <w:sz w:val="24"/>
          <w:szCs w:val="24"/>
        </w:rPr>
        <w:t xml:space="preserve">el ruego no tiene vocación de prosperidad, cuando el quejoso ha tenido a su alcance otros senderos de defensa, con los cuales hubiera podido controvertir lo aquí pedido en la correspondiente </w:t>
      </w:r>
      <w:proofErr w:type="spellStart"/>
      <w:r w:rsidRPr="00D43EDD">
        <w:rPr>
          <w:rFonts w:ascii="Bookman Old Style" w:hAnsi="Bookman Old Style" w:cs="Arial"/>
          <w:b/>
          <w:i/>
          <w:spacing w:val="-3"/>
          <w:sz w:val="24"/>
          <w:szCs w:val="24"/>
        </w:rPr>
        <w:t>litis</w:t>
      </w:r>
      <w:proofErr w:type="spellEnd"/>
      <w:r w:rsidRPr="00D43EDD">
        <w:rPr>
          <w:rFonts w:ascii="Bookman Old Style" w:hAnsi="Bookman Old Style" w:cs="Arial"/>
          <w:b/>
          <w:i/>
          <w:spacing w:val="-3"/>
          <w:sz w:val="24"/>
          <w:szCs w:val="24"/>
        </w:rPr>
        <w:t xml:space="preserve"> y ante el mismo funcionario</w:t>
      </w:r>
      <w:r>
        <w:rPr>
          <w:rFonts w:ascii="Bookman Old Style" w:hAnsi="Bookman Old Style" w:cs="Arial"/>
          <w:i/>
          <w:spacing w:val="-3"/>
          <w:sz w:val="24"/>
          <w:szCs w:val="24"/>
        </w:rPr>
        <w:t xml:space="preserve">, toda vez que por ser un instrumento eminentemente excepcional, secundario y residual, </w:t>
      </w:r>
      <w:r w:rsidRPr="00D43EDD">
        <w:rPr>
          <w:rFonts w:ascii="Bookman Old Style" w:hAnsi="Bookman Old Style" w:cs="Arial"/>
          <w:b/>
          <w:i/>
          <w:spacing w:val="-3"/>
          <w:sz w:val="24"/>
          <w:szCs w:val="24"/>
        </w:rPr>
        <w:t>no tiene la virtualidad de reemplazar los recursos ordinarios,</w:t>
      </w:r>
      <w:r>
        <w:rPr>
          <w:rFonts w:ascii="Bookman Old Style" w:hAnsi="Bookman Old Style" w:cs="Arial"/>
          <w:i/>
          <w:spacing w:val="-3"/>
          <w:sz w:val="24"/>
          <w:szCs w:val="24"/>
        </w:rPr>
        <w:t xml:space="preserve"> extraordinarios o demás procedimientos establecidos en el ordenamiento jurídico para que quien se sienta agraviado por los efectos de un pronunciamiento pueda exponer las razones de su inconformidad» </w:t>
      </w:r>
      <w:r w:rsidRPr="00D43EDD">
        <w:rPr>
          <w:rFonts w:ascii="Bookman Old Style" w:hAnsi="Bookman Old Style" w:cs="Arial"/>
          <w:spacing w:val="-3"/>
          <w:sz w:val="24"/>
          <w:szCs w:val="28"/>
        </w:rPr>
        <w:t xml:space="preserve">(CSJ </w:t>
      </w:r>
      <w:r w:rsidRPr="00D43EDD">
        <w:rPr>
          <w:rFonts w:ascii="Bookman Old Style" w:hAnsi="Bookman Old Style" w:cs="Arial"/>
          <w:sz w:val="24"/>
          <w:szCs w:val="28"/>
        </w:rPr>
        <w:t>STC1001-2018 – Negritas ajenas al texto)</w:t>
      </w:r>
      <w:r w:rsidRPr="007C67E5">
        <w:rPr>
          <w:rFonts w:ascii="Bookman Old Style" w:hAnsi="Bookman Old Style" w:cs="Arial"/>
          <w:sz w:val="28"/>
          <w:szCs w:val="28"/>
        </w:rPr>
        <w:t>.</w:t>
      </w:r>
    </w:p>
    <w:p w:rsidR="00157355" w:rsidRDefault="00157355" w:rsidP="00157355">
      <w:pPr>
        <w:spacing w:line="360" w:lineRule="auto"/>
        <w:ind w:firstLine="708"/>
        <w:jc w:val="both"/>
        <w:rPr>
          <w:rFonts w:ascii="Bookman Old Style" w:hAnsi="Bookman Old Style" w:cs="Arial"/>
          <w:bCs/>
          <w:sz w:val="28"/>
          <w:szCs w:val="28"/>
        </w:rPr>
      </w:pPr>
    </w:p>
    <w:p w:rsidR="00157355" w:rsidRDefault="00157355" w:rsidP="00157355">
      <w:pPr>
        <w:spacing w:line="360" w:lineRule="auto"/>
        <w:ind w:firstLine="708"/>
        <w:jc w:val="both"/>
        <w:rPr>
          <w:rFonts w:ascii="Bookman Old Style" w:hAnsi="Bookman Old Style" w:cs="Arial"/>
          <w:bCs/>
          <w:sz w:val="28"/>
          <w:szCs w:val="28"/>
        </w:rPr>
      </w:pPr>
      <w:r>
        <w:rPr>
          <w:rFonts w:ascii="Bookman Old Style" w:hAnsi="Bookman Old Style" w:cs="Arial"/>
          <w:bCs/>
          <w:sz w:val="28"/>
          <w:szCs w:val="28"/>
        </w:rPr>
        <w:lastRenderedPageBreak/>
        <w:t>Sentado lo anterior, tampoco se avizoran yerros con la entidad suficiente para demeritar la labor hermenéutica de</w:t>
      </w:r>
      <w:r w:rsidRPr="008D623B">
        <w:rPr>
          <w:rFonts w:ascii="Bookman Old Style" w:hAnsi="Bookman Old Style" w:cs="Arial"/>
          <w:bCs/>
          <w:sz w:val="28"/>
          <w:szCs w:val="28"/>
        </w:rPr>
        <w:t xml:space="preserve">l material </w:t>
      </w:r>
      <w:r>
        <w:rPr>
          <w:rFonts w:ascii="Bookman Old Style" w:hAnsi="Bookman Old Style" w:cs="Arial"/>
          <w:bCs/>
          <w:sz w:val="28"/>
          <w:szCs w:val="28"/>
        </w:rPr>
        <w:t>probatorio</w:t>
      </w:r>
      <w:r w:rsidRPr="008D623B">
        <w:rPr>
          <w:rFonts w:ascii="Bookman Old Style" w:hAnsi="Bookman Old Style" w:cs="Arial"/>
          <w:bCs/>
          <w:sz w:val="28"/>
          <w:szCs w:val="28"/>
        </w:rPr>
        <w:t xml:space="preserve"> allí recaudado</w:t>
      </w:r>
      <w:r>
        <w:rPr>
          <w:rFonts w:ascii="Bookman Old Style" w:hAnsi="Bookman Old Style" w:cs="Arial"/>
          <w:bCs/>
          <w:sz w:val="28"/>
          <w:szCs w:val="28"/>
        </w:rPr>
        <w:t xml:space="preserve"> que le permitió concluir que los </w:t>
      </w:r>
      <w:r w:rsidRPr="008E34C6">
        <w:rPr>
          <w:rFonts w:ascii="Bookman Old Style" w:hAnsi="Bookman Old Style" w:cs="Arial"/>
          <w:bCs/>
          <w:i/>
          <w:sz w:val="28"/>
          <w:szCs w:val="28"/>
        </w:rPr>
        <w:t>«dineros cautelados»</w:t>
      </w:r>
      <w:r>
        <w:rPr>
          <w:rFonts w:ascii="Bookman Old Style" w:hAnsi="Bookman Old Style" w:cs="Arial"/>
          <w:bCs/>
          <w:sz w:val="28"/>
          <w:szCs w:val="28"/>
        </w:rPr>
        <w:t xml:space="preserve"> eran de ineludible </w:t>
      </w:r>
      <w:r w:rsidRPr="008E34C6">
        <w:rPr>
          <w:rFonts w:ascii="Bookman Old Style" w:hAnsi="Bookman Old Style" w:cs="Arial"/>
          <w:bCs/>
          <w:i/>
          <w:sz w:val="28"/>
          <w:szCs w:val="28"/>
        </w:rPr>
        <w:t>«naturaleza inembargable»</w:t>
      </w:r>
      <w:r>
        <w:rPr>
          <w:rFonts w:ascii="Bookman Old Style" w:hAnsi="Bookman Old Style" w:cs="Arial"/>
          <w:bCs/>
          <w:sz w:val="28"/>
          <w:szCs w:val="28"/>
        </w:rPr>
        <w:t xml:space="preserve">, según se extractaba del clausulado del </w:t>
      </w:r>
      <w:r w:rsidRPr="008E34C6">
        <w:rPr>
          <w:rFonts w:ascii="Bookman Old Style" w:hAnsi="Bookman Old Style" w:cs="Arial"/>
          <w:bCs/>
          <w:i/>
          <w:sz w:val="28"/>
          <w:szCs w:val="28"/>
        </w:rPr>
        <w:t>«contrato N</w:t>
      </w:r>
      <w:r>
        <w:rPr>
          <w:rFonts w:ascii="Bookman Old Style" w:hAnsi="Bookman Old Style" w:cs="Arial"/>
          <w:bCs/>
          <w:i/>
          <w:sz w:val="28"/>
          <w:szCs w:val="28"/>
        </w:rPr>
        <w:t>°</w:t>
      </w:r>
      <w:r w:rsidRPr="008E34C6">
        <w:rPr>
          <w:rFonts w:ascii="Bookman Old Style" w:hAnsi="Bookman Old Style" w:cs="Arial"/>
          <w:bCs/>
          <w:i/>
          <w:sz w:val="28"/>
          <w:szCs w:val="28"/>
        </w:rPr>
        <w:t xml:space="preserve"> 14067 de 2017 suscrit</w:t>
      </w:r>
      <w:r>
        <w:rPr>
          <w:rFonts w:ascii="Bookman Old Style" w:hAnsi="Bookman Old Style" w:cs="Arial"/>
          <w:bCs/>
          <w:i/>
          <w:sz w:val="28"/>
          <w:szCs w:val="28"/>
        </w:rPr>
        <w:t>o entre el Departamento de Nariñ</w:t>
      </w:r>
      <w:r w:rsidRPr="008E34C6">
        <w:rPr>
          <w:rFonts w:ascii="Bookman Old Style" w:hAnsi="Bookman Old Style" w:cs="Arial"/>
          <w:bCs/>
          <w:i/>
          <w:sz w:val="28"/>
          <w:szCs w:val="28"/>
        </w:rPr>
        <w:t>o y la Unión Temporal PAE Nariño 2017, el acta de conformación de ésta</w:t>
      </w:r>
      <w:r>
        <w:rPr>
          <w:rFonts w:ascii="Bookman Old Style" w:hAnsi="Bookman Old Style" w:cs="Arial"/>
          <w:bCs/>
          <w:i/>
          <w:sz w:val="28"/>
          <w:szCs w:val="28"/>
        </w:rPr>
        <w:t>»</w:t>
      </w:r>
      <w:r>
        <w:rPr>
          <w:rFonts w:ascii="Bookman Old Style" w:hAnsi="Bookman Old Style" w:cs="Arial"/>
          <w:bCs/>
          <w:sz w:val="28"/>
          <w:szCs w:val="28"/>
        </w:rPr>
        <w:t xml:space="preserve"> y d</w:t>
      </w:r>
      <w:r w:rsidRPr="008E34C6">
        <w:rPr>
          <w:rFonts w:ascii="Bookman Old Style" w:hAnsi="Bookman Old Style" w:cs="Arial"/>
          <w:bCs/>
          <w:sz w:val="28"/>
          <w:szCs w:val="28"/>
        </w:rPr>
        <w:t>el</w:t>
      </w:r>
      <w:r w:rsidRPr="008E34C6">
        <w:rPr>
          <w:rFonts w:ascii="Bookman Old Style" w:hAnsi="Bookman Old Style" w:cs="Arial"/>
          <w:bCs/>
          <w:i/>
          <w:sz w:val="28"/>
          <w:szCs w:val="28"/>
        </w:rPr>
        <w:t xml:space="preserve"> </w:t>
      </w:r>
      <w:r>
        <w:rPr>
          <w:rFonts w:ascii="Bookman Old Style" w:hAnsi="Bookman Old Style" w:cs="Arial"/>
          <w:bCs/>
          <w:i/>
          <w:sz w:val="28"/>
          <w:szCs w:val="28"/>
        </w:rPr>
        <w:t>«</w:t>
      </w:r>
      <w:r w:rsidRPr="008E34C6">
        <w:rPr>
          <w:rFonts w:ascii="Bookman Old Style" w:hAnsi="Bookman Old Style" w:cs="Arial"/>
          <w:bCs/>
          <w:i/>
          <w:sz w:val="28"/>
          <w:szCs w:val="28"/>
        </w:rPr>
        <w:t>contrato de suministro N°590 suscrito entre el Departamento de Putumayo y la Unión Temporal PAE Putumayo 2018, el acta de conformación de esta agremiación»</w:t>
      </w:r>
      <w:r>
        <w:rPr>
          <w:rFonts w:ascii="Bookman Old Style" w:hAnsi="Bookman Old Style" w:cs="Arial"/>
          <w:bCs/>
          <w:i/>
          <w:sz w:val="28"/>
          <w:szCs w:val="28"/>
        </w:rPr>
        <w:t>,</w:t>
      </w:r>
      <w:r w:rsidRPr="007F2755">
        <w:rPr>
          <w:rFonts w:ascii="Bookman Old Style" w:hAnsi="Bookman Old Style" w:cs="Arial"/>
          <w:bCs/>
          <w:sz w:val="28"/>
          <w:szCs w:val="28"/>
        </w:rPr>
        <w:t xml:space="preserve"> así como </w:t>
      </w:r>
      <w:r>
        <w:rPr>
          <w:rFonts w:ascii="Bookman Old Style" w:hAnsi="Bookman Old Style" w:cs="Arial"/>
          <w:bCs/>
          <w:sz w:val="28"/>
          <w:szCs w:val="28"/>
        </w:rPr>
        <w:t xml:space="preserve">las certificaciones obrantes en el plenario, piezas procesales que analizadas en conjunto y a la luz de los cánones 19 del Estatuto Orgánico del Presupuesto, 70 de la Ley 1530 de 2012 y 2.3.10.2.1 y 2.3.10.2.1 del Decreto 1852 de 2015, llevaron a la Juzgadora de segundo grado a afirmar que, </w:t>
      </w:r>
    </w:p>
    <w:p w:rsidR="00157355" w:rsidRDefault="00157355" w:rsidP="00157355">
      <w:pPr>
        <w:spacing w:line="360" w:lineRule="auto"/>
        <w:ind w:firstLine="708"/>
        <w:jc w:val="both"/>
        <w:rPr>
          <w:rFonts w:ascii="Bookman Old Style" w:hAnsi="Bookman Old Style" w:cs="Arial"/>
          <w:bCs/>
          <w:sz w:val="28"/>
          <w:szCs w:val="28"/>
        </w:rPr>
      </w:pPr>
    </w:p>
    <w:p w:rsidR="00157355"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t>«</w:t>
      </w:r>
      <w:r w:rsidRPr="00DC436F">
        <w:rPr>
          <w:rFonts w:ascii="Bookman Old Style" w:hAnsi="Bookman Old Style" w:cs="Arial"/>
          <w:bCs/>
          <w:i/>
          <w:sz w:val="24"/>
          <w:szCs w:val="28"/>
        </w:rPr>
        <w:t xml:space="preserve">(…) la </w:t>
      </w:r>
      <w:proofErr w:type="spellStart"/>
      <w:r w:rsidRPr="00DC436F">
        <w:rPr>
          <w:rFonts w:ascii="Bookman Old Style" w:hAnsi="Bookman Old Style" w:cs="Arial"/>
          <w:bCs/>
          <w:i/>
          <w:sz w:val="24"/>
          <w:szCs w:val="28"/>
        </w:rPr>
        <w:t>embargabilidad</w:t>
      </w:r>
      <w:proofErr w:type="spellEnd"/>
      <w:r w:rsidRPr="00DC436F">
        <w:rPr>
          <w:rFonts w:ascii="Bookman Old Style" w:hAnsi="Bookman Old Style" w:cs="Arial"/>
          <w:bCs/>
          <w:i/>
          <w:sz w:val="24"/>
          <w:szCs w:val="28"/>
        </w:rPr>
        <w:t xml:space="preserve"> o no de los bienes destinados a esos propósitos [Programa de Alimentación Escolar]</w:t>
      </w:r>
      <w:r>
        <w:rPr>
          <w:rFonts w:ascii="Bookman Old Style" w:hAnsi="Bookman Old Style" w:cs="Arial"/>
          <w:bCs/>
          <w:i/>
          <w:sz w:val="24"/>
          <w:szCs w:val="28"/>
        </w:rPr>
        <w:t xml:space="preserve"> </w:t>
      </w:r>
      <w:r w:rsidRPr="002C71FE">
        <w:rPr>
          <w:rFonts w:ascii="Bookman Old Style" w:hAnsi="Bookman Old Style" w:cs="Arial"/>
          <w:b/>
          <w:bCs/>
          <w:i/>
          <w:sz w:val="24"/>
          <w:szCs w:val="28"/>
        </w:rPr>
        <w:t>no se determina de manera automática con el sólo hecho de acudir a la participación que cada sociedad o fundación tuvo en cada una de las uniones temporales creadas para esos específicos propósitos</w:t>
      </w:r>
      <w:r>
        <w:rPr>
          <w:rFonts w:ascii="Bookman Old Style" w:hAnsi="Bookman Old Style" w:cs="Arial"/>
          <w:bCs/>
          <w:i/>
          <w:sz w:val="24"/>
          <w:szCs w:val="28"/>
        </w:rPr>
        <w:t xml:space="preserve">. Se afirma ello en razón de que, como tal, la participación no constituye utilidad económica. (…) </w:t>
      </w:r>
      <w:r w:rsidRPr="002C71FE">
        <w:rPr>
          <w:rFonts w:ascii="Bookman Old Style" w:hAnsi="Bookman Old Style" w:cs="Arial"/>
          <w:b/>
          <w:bCs/>
          <w:i/>
          <w:sz w:val="24"/>
          <w:szCs w:val="28"/>
        </w:rPr>
        <w:t xml:space="preserve">los dineros que, conforme a la periodicidad pactada, se giren por el </w:t>
      </w:r>
      <w:r w:rsidRPr="002C71FE">
        <w:rPr>
          <w:rFonts w:ascii="Bookman Old Style" w:hAnsi="Bookman Old Style" w:cs="Arial"/>
          <w:b/>
          <w:bCs/>
          <w:i/>
          <w:sz w:val="24"/>
          <w:szCs w:val="28"/>
        </w:rPr>
        <w:lastRenderedPageBreak/>
        <w:t>ente territorial a la Unión Temporal no representan las “ganancias” de cada una en su calidad de operadora del PAE</w:t>
      </w:r>
      <w:r>
        <w:rPr>
          <w:rFonts w:ascii="Bookman Old Style" w:hAnsi="Bookman Old Style" w:cs="Arial"/>
          <w:bCs/>
          <w:i/>
          <w:sz w:val="24"/>
          <w:szCs w:val="28"/>
        </w:rPr>
        <w:t>, conclusión a la que se arriba de la sola comprensión de las normas que regulan ese especial sistema, destinadas como están a promover “el acceso con permanencia de los niños, niñas, adolescentes y jóvenes  en el sistema educativo oficial, a través del suministro de un complemento alimentario durante la jornada escolar (…) (decreto 1852 de 2015).</w:t>
      </w:r>
    </w:p>
    <w:p w:rsidR="00157355" w:rsidRDefault="00157355" w:rsidP="00157355">
      <w:pPr>
        <w:spacing w:line="360" w:lineRule="auto"/>
        <w:ind w:left="709"/>
        <w:jc w:val="both"/>
        <w:rPr>
          <w:rFonts w:ascii="Bookman Old Style" w:hAnsi="Bookman Old Style" w:cs="Arial"/>
          <w:bCs/>
          <w:i/>
          <w:sz w:val="24"/>
          <w:szCs w:val="28"/>
        </w:rPr>
      </w:pPr>
    </w:p>
    <w:p w:rsidR="00157355"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t xml:space="preserve">En otras palabras, conforme a las disposiciones que se trajeron a cita, </w:t>
      </w:r>
      <w:r w:rsidRPr="002C71FE">
        <w:rPr>
          <w:rFonts w:ascii="Bookman Old Style" w:hAnsi="Bookman Old Style" w:cs="Arial"/>
          <w:b/>
          <w:bCs/>
          <w:i/>
          <w:sz w:val="24"/>
          <w:szCs w:val="28"/>
        </w:rPr>
        <w:t>las Uniones Temporales funcionan como operadoras del Programa de Alimentación Escolar</w:t>
      </w:r>
      <w:r>
        <w:rPr>
          <w:rFonts w:ascii="Bookman Old Style" w:hAnsi="Bookman Old Style" w:cs="Arial"/>
          <w:bCs/>
          <w:i/>
          <w:sz w:val="24"/>
          <w:szCs w:val="28"/>
        </w:rPr>
        <w:t xml:space="preserve">, luego entonces, </w:t>
      </w:r>
      <w:r w:rsidRPr="002C71FE">
        <w:rPr>
          <w:rFonts w:ascii="Bookman Old Style" w:hAnsi="Bookman Old Style" w:cs="Arial"/>
          <w:b/>
          <w:bCs/>
          <w:i/>
          <w:sz w:val="24"/>
          <w:szCs w:val="28"/>
        </w:rPr>
        <w:t>mal puede afirmarse que el pago que se hace constituye la retribución por el servicio que se ha contratado pues, al final de cuentas, no están haciendo más que ejecutar ese programa a través de los dineros que le giran los entes territoriales</w:t>
      </w:r>
      <w:r>
        <w:rPr>
          <w:rFonts w:ascii="Bookman Old Style" w:hAnsi="Bookman Old Style" w:cs="Arial"/>
          <w:bCs/>
          <w:i/>
          <w:sz w:val="24"/>
          <w:szCs w:val="28"/>
        </w:rPr>
        <w:t>, “bajo el esquema de bolsa común con los recursos de las diferentes fuentes que concurran en el financiamiento del Programa” (decreto 1852 de 2015)</w:t>
      </w:r>
    </w:p>
    <w:p w:rsidR="00157355" w:rsidRDefault="00157355" w:rsidP="00157355">
      <w:pPr>
        <w:spacing w:line="360" w:lineRule="auto"/>
        <w:ind w:left="709"/>
        <w:jc w:val="both"/>
        <w:rPr>
          <w:rFonts w:ascii="Bookman Old Style" w:hAnsi="Bookman Old Style" w:cs="Arial"/>
          <w:bCs/>
          <w:i/>
          <w:sz w:val="24"/>
          <w:szCs w:val="28"/>
        </w:rPr>
      </w:pPr>
    </w:p>
    <w:p w:rsidR="00157355"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t xml:space="preserve">Bajo estas disertaciones, </w:t>
      </w:r>
      <w:r w:rsidRPr="002C71FE">
        <w:rPr>
          <w:rFonts w:ascii="Bookman Old Style" w:hAnsi="Bookman Old Style" w:cs="Arial"/>
          <w:b/>
          <w:bCs/>
          <w:i/>
          <w:sz w:val="24"/>
          <w:szCs w:val="28"/>
        </w:rPr>
        <w:t>es indiscutible la naturaleza inembargable de los dineros</w:t>
      </w:r>
      <w:r>
        <w:rPr>
          <w:rFonts w:ascii="Bookman Old Style" w:hAnsi="Bookman Old Style" w:cs="Arial"/>
          <w:bCs/>
          <w:i/>
          <w:sz w:val="24"/>
          <w:szCs w:val="28"/>
        </w:rPr>
        <w:t xml:space="preserve"> que giran tanto el Departamento de Nariño, como Putumayo, </w:t>
      </w:r>
      <w:r w:rsidRPr="002C71FE">
        <w:rPr>
          <w:rFonts w:ascii="Bookman Old Style" w:hAnsi="Bookman Old Style" w:cs="Arial"/>
          <w:b/>
          <w:bCs/>
          <w:i/>
          <w:sz w:val="24"/>
          <w:szCs w:val="28"/>
        </w:rPr>
        <w:t>pues, insístase, tienen como propósito atender el Programa de Alimentación Escolar, constituyéndose en una destinación específica de dineros provenientes del erario público</w:t>
      </w:r>
      <w:r>
        <w:rPr>
          <w:rFonts w:ascii="Bookman Old Style" w:hAnsi="Bookman Old Style" w:cs="Arial"/>
          <w:bCs/>
          <w:i/>
          <w:sz w:val="24"/>
          <w:szCs w:val="28"/>
        </w:rPr>
        <w:t>. (…)</w:t>
      </w:r>
    </w:p>
    <w:p w:rsidR="00157355" w:rsidRDefault="00157355" w:rsidP="00157355">
      <w:pPr>
        <w:spacing w:line="360" w:lineRule="auto"/>
        <w:ind w:left="709"/>
        <w:jc w:val="both"/>
        <w:rPr>
          <w:rFonts w:ascii="Bookman Old Style" w:hAnsi="Bookman Old Style" w:cs="Arial"/>
          <w:bCs/>
          <w:i/>
          <w:sz w:val="24"/>
          <w:szCs w:val="28"/>
        </w:rPr>
      </w:pPr>
    </w:p>
    <w:p w:rsidR="00157355"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lastRenderedPageBreak/>
        <w:t xml:space="preserve">En conclusión, pese a que los entes territoriales –Putumayo y Nariño- giren dineros a las Uniones Temporales que aquí han planteado el levantamiento de las medidas decretadas sobre aquéllos, </w:t>
      </w:r>
      <w:r w:rsidRPr="002C71FE">
        <w:rPr>
          <w:rFonts w:ascii="Bookman Old Style" w:hAnsi="Bookman Old Style" w:cs="Arial"/>
          <w:b/>
          <w:bCs/>
          <w:i/>
          <w:sz w:val="24"/>
          <w:szCs w:val="28"/>
        </w:rPr>
        <w:t>esos rubros no dejan de ser inembargables dado que la misma ley ha trazado su destinación, tal como es la materialización  del Plan de Alimentación Escolar</w:t>
      </w:r>
      <w:r>
        <w:rPr>
          <w:rFonts w:ascii="Bookman Old Style" w:hAnsi="Bookman Old Style" w:cs="Arial"/>
          <w:bCs/>
          <w:i/>
          <w:sz w:val="24"/>
          <w:szCs w:val="28"/>
        </w:rPr>
        <w:t xml:space="preserve">, siendo exótico </w:t>
      </w:r>
      <w:r w:rsidRPr="002C71FE">
        <w:rPr>
          <w:rFonts w:ascii="Bookman Old Style" w:hAnsi="Bookman Old Style" w:cs="Arial"/>
          <w:b/>
          <w:bCs/>
          <w:i/>
          <w:sz w:val="24"/>
          <w:szCs w:val="28"/>
        </w:rPr>
        <w:t xml:space="preserve">estimar que tales peculios representen las “ganancias” de las fundaciones y asociaciones que integran las Uniones Temporales </w:t>
      </w:r>
      <w:r>
        <w:rPr>
          <w:rFonts w:ascii="Bookman Old Style" w:hAnsi="Bookman Old Style" w:cs="Arial"/>
          <w:bCs/>
          <w:i/>
          <w:sz w:val="24"/>
          <w:szCs w:val="28"/>
        </w:rPr>
        <w:t xml:space="preserve">respectivas, </w:t>
      </w:r>
      <w:r w:rsidRPr="002C71FE">
        <w:rPr>
          <w:rFonts w:ascii="Bookman Old Style" w:hAnsi="Bookman Old Style" w:cs="Arial"/>
          <w:b/>
          <w:bCs/>
          <w:i/>
          <w:sz w:val="24"/>
          <w:szCs w:val="28"/>
        </w:rPr>
        <w:t>máxime que s</w:t>
      </w:r>
      <w:r>
        <w:rPr>
          <w:rFonts w:ascii="Bookman Old Style" w:hAnsi="Bookman Old Style" w:cs="Arial"/>
          <w:bCs/>
          <w:i/>
          <w:sz w:val="24"/>
          <w:szCs w:val="28"/>
        </w:rPr>
        <w:t xml:space="preserve">u </w:t>
      </w:r>
      <w:r w:rsidRPr="002C71FE">
        <w:rPr>
          <w:rFonts w:ascii="Bookman Old Style" w:hAnsi="Bookman Old Style" w:cs="Arial"/>
          <w:b/>
          <w:bCs/>
          <w:i/>
          <w:sz w:val="24"/>
          <w:szCs w:val="28"/>
        </w:rPr>
        <w:t>naturaleza es “sin ánimo de lucro”</w:t>
      </w:r>
      <w:r>
        <w:rPr>
          <w:rFonts w:ascii="Bookman Old Style" w:hAnsi="Bookman Old Style" w:cs="Arial"/>
          <w:bCs/>
          <w:i/>
          <w:sz w:val="24"/>
          <w:szCs w:val="28"/>
        </w:rPr>
        <w:t xml:space="preserve"> y los mismos contadores de la Unión Temporal </w:t>
      </w:r>
      <w:proofErr w:type="spellStart"/>
      <w:r>
        <w:rPr>
          <w:rFonts w:ascii="Bookman Old Style" w:hAnsi="Bookman Old Style" w:cs="Arial"/>
          <w:bCs/>
          <w:i/>
          <w:sz w:val="24"/>
          <w:szCs w:val="28"/>
        </w:rPr>
        <w:t>Pae</w:t>
      </w:r>
      <w:proofErr w:type="spellEnd"/>
      <w:r>
        <w:rPr>
          <w:rFonts w:ascii="Bookman Old Style" w:hAnsi="Bookman Old Style" w:cs="Arial"/>
          <w:bCs/>
          <w:i/>
          <w:sz w:val="24"/>
          <w:szCs w:val="28"/>
        </w:rPr>
        <w:t xml:space="preserve"> Nariño 2017 y Unión Temporal </w:t>
      </w:r>
      <w:proofErr w:type="spellStart"/>
      <w:r>
        <w:rPr>
          <w:rFonts w:ascii="Bookman Old Style" w:hAnsi="Bookman Old Style" w:cs="Arial"/>
          <w:bCs/>
          <w:i/>
          <w:sz w:val="24"/>
          <w:szCs w:val="28"/>
        </w:rPr>
        <w:t>Pae</w:t>
      </w:r>
      <w:proofErr w:type="spellEnd"/>
      <w:r>
        <w:rPr>
          <w:rFonts w:ascii="Bookman Old Style" w:hAnsi="Bookman Old Style" w:cs="Arial"/>
          <w:bCs/>
          <w:i/>
          <w:sz w:val="24"/>
          <w:szCs w:val="28"/>
        </w:rPr>
        <w:t xml:space="preserve"> Putumayo 2018 han certificado que no hay utilidad alguna a favor de la Fundación para el Desarrollo y la Solidaridad “</w:t>
      </w:r>
      <w:proofErr w:type="spellStart"/>
      <w:r>
        <w:rPr>
          <w:rFonts w:ascii="Bookman Old Style" w:hAnsi="Bookman Old Style" w:cs="Arial"/>
          <w:bCs/>
          <w:i/>
          <w:sz w:val="24"/>
          <w:szCs w:val="28"/>
        </w:rPr>
        <w:t>Fundesol</w:t>
      </w:r>
      <w:proofErr w:type="spellEnd"/>
      <w:r>
        <w:rPr>
          <w:rFonts w:ascii="Bookman Old Style" w:hAnsi="Bookman Old Style" w:cs="Arial"/>
          <w:bCs/>
          <w:i/>
          <w:sz w:val="24"/>
          <w:szCs w:val="28"/>
        </w:rPr>
        <w:t>”.</w:t>
      </w:r>
    </w:p>
    <w:p w:rsidR="00157355" w:rsidRDefault="00157355" w:rsidP="00157355">
      <w:pPr>
        <w:spacing w:line="360" w:lineRule="auto"/>
        <w:ind w:left="709"/>
        <w:jc w:val="both"/>
        <w:rPr>
          <w:rFonts w:ascii="Bookman Old Style" w:hAnsi="Bookman Old Style" w:cs="Arial"/>
          <w:bCs/>
          <w:i/>
          <w:sz w:val="24"/>
          <w:szCs w:val="28"/>
        </w:rPr>
      </w:pPr>
    </w:p>
    <w:p w:rsidR="00157355"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t xml:space="preserve">A lo dicho debe agregarse que en esta oportunidad la </w:t>
      </w:r>
      <w:proofErr w:type="spellStart"/>
      <w:r>
        <w:rPr>
          <w:rFonts w:ascii="Bookman Old Style" w:hAnsi="Bookman Old Style" w:cs="Arial"/>
          <w:bCs/>
          <w:i/>
          <w:sz w:val="24"/>
          <w:szCs w:val="28"/>
        </w:rPr>
        <w:t>inembargabilidad</w:t>
      </w:r>
      <w:proofErr w:type="spellEnd"/>
      <w:r>
        <w:rPr>
          <w:rFonts w:ascii="Bookman Old Style" w:hAnsi="Bookman Old Style" w:cs="Arial"/>
          <w:bCs/>
          <w:i/>
          <w:sz w:val="24"/>
          <w:szCs w:val="28"/>
        </w:rPr>
        <w:t xml:space="preserve"> no era menester que la certificaran las entidades a que alude el Art. 590 del C.G. del P. (…), pues por disposición legal los dineros objeto de cautela son inembargables, debiéndose abstener del decreto, como lo indica el art. 594 ibídem, sin que medie esa acotación de tales funcionarios.</w:t>
      </w:r>
    </w:p>
    <w:p w:rsidR="00157355" w:rsidRDefault="00157355" w:rsidP="00157355">
      <w:pPr>
        <w:spacing w:line="360" w:lineRule="auto"/>
        <w:ind w:left="709"/>
        <w:jc w:val="both"/>
        <w:rPr>
          <w:rFonts w:ascii="Bookman Old Style" w:hAnsi="Bookman Old Style" w:cs="Arial"/>
          <w:bCs/>
          <w:i/>
          <w:sz w:val="24"/>
          <w:szCs w:val="28"/>
        </w:rPr>
      </w:pPr>
    </w:p>
    <w:p w:rsidR="00157355" w:rsidRPr="002C71FE" w:rsidRDefault="00157355" w:rsidP="00157355">
      <w:pPr>
        <w:spacing w:line="360" w:lineRule="auto"/>
        <w:ind w:left="709"/>
        <w:jc w:val="both"/>
        <w:rPr>
          <w:rFonts w:ascii="Bookman Old Style" w:hAnsi="Bookman Old Style" w:cs="Arial"/>
          <w:bCs/>
          <w:i/>
          <w:sz w:val="24"/>
          <w:szCs w:val="28"/>
        </w:rPr>
      </w:pPr>
      <w:r>
        <w:rPr>
          <w:rFonts w:ascii="Bookman Old Style" w:hAnsi="Bookman Old Style" w:cs="Arial"/>
          <w:bCs/>
          <w:i/>
          <w:sz w:val="24"/>
          <w:szCs w:val="28"/>
        </w:rPr>
        <w:t xml:space="preserve">Ahora, aunque no se desconoce que existen excepciones a la regla de </w:t>
      </w:r>
      <w:proofErr w:type="spellStart"/>
      <w:r>
        <w:rPr>
          <w:rFonts w:ascii="Bookman Old Style" w:hAnsi="Bookman Old Style" w:cs="Arial"/>
          <w:bCs/>
          <w:i/>
          <w:sz w:val="24"/>
          <w:szCs w:val="28"/>
        </w:rPr>
        <w:t>inembargabilidad</w:t>
      </w:r>
      <w:proofErr w:type="spellEnd"/>
      <w:r>
        <w:rPr>
          <w:rFonts w:ascii="Bookman Old Style" w:hAnsi="Bookman Old Style" w:cs="Arial"/>
          <w:bCs/>
          <w:i/>
          <w:sz w:val="24"/>
          <w:szCs w:val="28"/>
        </w:rPr>
        <w:t>, el cobro compulsivo que se efectúa a través de esta causa no cae en ninguna de las eventualidades reconocidas por la jurisprudencia constitucional.»</w:t>
      </w:r>
      <w:r w:rsidRPr="008D623B">
        <w:rPr>
          <w:rFonts w:ascii="Bookman Old Style" w:hAnsi="Bookman Old Style" w:cs="Arial"/>
          <w:bCs/>
          <w:i/>
          <w:sz w:val="24"/>
          <w:szCs w:val="28"/>
        </w:rPr>
        <w:t xml:space="preserve"> </w:t>
      </w:r>
      <w:r w:rsidRPr="008D623B">
        <w:rPr>
          <w:rFonts w:ascii="Bookman Old Style" w:hAnsi="Bookman Old Style" w:cs="Arial"/>
          <w:bCs/>
          <w:sz w:val="24"/>
          <w:szCs w:val="28"/>
        </w:rPr>
        <w:t xml:space="preserve">(Negritas ajenas al texto </w:t>
      </w:r>
      <w:r>
        <w:rPr>
          <w:rFonts w:ascii="Bookman Old Style" w:hAnsi="Bookman Old Style" w:cs="Arial"/>
          <w:bCs/>
          <w:sz w:val="24"/>
          <w:szCs w:val="28"/>
        </w:rPr>
        <w:t>–</w:t>
      </w:r>
      <w:r w:rsidRPr="008D623B">
        <w:rPr>
          <w:rFonts w:ascii="Bookman Old Style" w:hAnsi="Bookman Old Style" w:cs="Arial"/>
          <w:bCs/>
          <w:sz w:val="24"/>
          <w:szCs w:val="28"/>
        </w:rPr>
        <w:t xml:space="preserve"> </w:t>
      </w:r>
      <w:proofErr w:type="spellStart"/>
      <w:r w:rsidRPr="008D623B">
        <w:rPr>
          <w:rFonts w:ascii="Bookman Old Style" w:hAnsi="Bookman Old Style" w:cs="Arial"/>
          <w:bCs/>
          <w:sz w:val="24"/>
          <w:szCs w:val="28"/>
        </w:rPr>
        <w:t>fl</w:t>
      </w:r>
      <w:r>
        <w:rPr>
          <w:rFonts w:ascii="Bookman Old Style" w:hAnsi="Bookman Old Style" w:cs="Arial"/>
          <w:bCs/>
          <w:sz w:val="24"/>
          <w:szCs w:val="28"/>
        </w:rPr>
        <w:t>s</w:t>
      </w:r>
      <w:proofErr w:type="spellEnd"/>
      <w:r>
        <w:rPr>
          <w:rFonts w:ascii="Bookman Old Style" w:hAnsi="Bookman Old Style" w:cs="Arial"/>
          <w:bCs/>
          <w:sz w:val="24"/>
          <w:szCs w:val="28"/>
        </w:rPr>
        <w:t>. 149 a 153</w:t>
      </w:r>
      <w:r w:rsidRPr="008D623B">
        <w:rPr>
          <w:rFonts w:ascii="Bookman Old Style" w:hAnsi="Bookman Old Style" w:cs="Arial"/>
          <w:bCs/>
          <w:sz w:val="24"/>
          <w:szCs w:val="28"/>
        </w:rPr>
        <w:t>).</w:t>
      </w:r>
      <w:r w:rsidRPr="008D623B">
        <w:rPr>
          <w:rFonts w:ascii="Bookman Old Style" w:hAnsi="Bookman Old Style" w:cs="Arial"/>
          <w:bCs/>
          <w:sz w:val="28"/>
          <w:szCs w:val="28"/>
        </w:rPr>
        <w:t xml:space="preserve"> </w:t>
      </w:r>
    </w:p>
    <w:p w:rsidR="00157355" w:rsidRPr="008D623B" w:rsidRDefault="00157355" w:rsidP="00157355">
      <w:pPr>
        <w:spacing w:line="360" w:lineRule="auto"/>
        <w:ind w:firstLine="708"/>
        <w:jc w:val="both"/>
        <w:rPr>
          <w:rFonts w:ascii="Bookman Old Style" w:hAnsi="Bookman Old Style" w:cs="Arial"/>
          <w:bCs/>
          <w:sz w:val="28"/>
          <w:szCs w:val="28"/>
        </w:rPr>
      </w:pPr>
    </w:p>
    <w:p w:rsidR="00157355" w:rsidRPr="008D623B" w:rsidRDefault="00157355" w:rsidP="00157355">
      <w:pPr>
        <w:spacing w:line="360" w:lineRule="auto"/>
        <w:ind w:firstLine="708"/>
        <w:jc w:val="both"/>
        <w:rPr>
          <w:rFonts w:ascii="Bookman Old Style" w:hAnsi="Bookman Old Style" w:cs="Arial"/>
          <w:bCs/>
          <w:sz w:val="28"/>
          <w:szCs w:val="28"/>
        </w:rPr>
      </w:pPr>
      <w:r w:rsidRPr="008D623B">
        <w:rPr>
          <w:rFonts w:ascii="Bookman Old Style" w:hAnsi="Bookman Old Style" w:cs="Arial"/>
          <w:bCs/>
          <w:sz w:val="28"/>
          <w:szCs w:val="28"/>
        </w:rPr>
        <w:lastRenderedPageBreak/>
        <w:t xml:space="preserve">De esta forma, </w:t>
      </w:r>
      <w:r>
        <w:rPr>
          <w:rFonts w:ascii="Bookman Old Style" w:hAnsi="Bookman Old Style" w:cs="Arial"/>
          <w:bCs/>
          <w:sz w:val="28"/>
          <w:szCs w:val="28"/>
        </w:rPr>
        <w:t xml:space="preserve">este </w:t>
      </w:r>
      <w:r w:rsidRPr="008D623B">
        <w:rPr>
          <w:rFonts w:ascii="Bookman Old Style" w:hAnsi="Bookman Old Style" w:cs="Arial"/>
          <w:bCs/>
          <w:sz w:val="28"/>
          <w:szCs w:val="28"/>
        </w:rPr>
        <w:t xml:space="preserve">raciocinio no se muestra contraevidente con </w:t>
      </w:r>
      <w:r>
        <w:rPr>
          <w:rFonts w:ascii="Bookman Old Style" w:hAnsi="Bookman Old Style" w:cs="Arial"/>
          <w:bCs/>
          <w:sz w:val="28"/>
          <w:szCs w:val="28"/>
        </w:rPr>
        <w:t>lo</w:t>
      </w:r>
      <w:r w:rsidRPr="008D623B">
        <w:rPr>
          <w:rFonts w:ascii="Bookman Old Style" w:hAnsi="Bookman Old Style" w:cs="Arial"/>
          <w:bCs/>
          <w:sz w:val="28"/>
          <w:szCs w:val="28"/>
        </w:rPr>
        <w:t xml:space="preserve">s medios demostrativos adosados por </w:t>
      </w:r>
      <w:r>
        <w:rPr>
          <w:rFonts w:ascii="Bookman Old Style" w:hAnsi="Bookman Old Style" w:cs="Arial"/>
          <w:bCs/>
          <w:sz w:val="28"/>
          <w:szCs w:val="28"/>
        </w:rPr>
        <w:t xml:space="preserve">las partes y no desvirtuados por la censora </w:t>
      </w:r>
      <w:r w:rsidRPr="008D623B">
        <w:rPr>
          <w:rFonts w:ascii="Bookman Old Style" w:hAnsi="Bookman Old Style" w:cs="Arial"/>
          <w:bCs/>
          <w:sz w:val="28"/>
          <w:szCs w:val="28"/>
        </w:rPr>
        <w:t xml:space="preserve">al descorrer </w:t>
      </w:r>
      <w:r>
        <w:rPr>
          <w:rFonts w:ascii="Bookman Old Style" w:hAnsi="Bookman Old Style" w:cs="Arial"/>
          <w:bCs/>
          <w:sz w:val="28"/>
          <w:szCs w:val="28"/>
        </w:rPr>
        <w:t xml:space="preserve">su respectivo </w:t>
      </w:r>
      <w:r w:rsidRPr="008D623B">
        <w:rPr>
          <w:rFonts w:ascii="Bookman Old Style" w:hAnsi="Bookman Old Style" w:cs="Arial"/>
          <w:bCs/>
          <w:sz w:val="28"/>
          <w:szCs w:val="28"/>
        </w:rPr>
        <w:t>traslado</w:t>
      </w:r>
      <w:r>
        <w:rPr>
          <w:rFonts w:ascii="Bookman Old Style" w:hAnsi="Bookman Old Style" w:cs="Arial"/>
          <w:bCs/>
          <w:sz w:val="24"/>
          <w:szCs w:val="24"/>
        </w:rPr>
        <w:t xml:space="preserve">, </w:t>
      </w:r>
      <w:r w:rsidRPr="003F73BE">
        <w:rPr>
          <w:rFonts w:ascii="Bookman Old Style" w:hAnsi="Bookman Old Style" w:cs="Arial"/>
          <w:bCs/>
          <w:sz w:val="28"/>
          <w:szCs w:val="24"/>
        </w:rPr>
        <w:t>razón por demás suficiente para de</w:t>
      </w:r>
      <w:r>
        <w:rPr>
          <w:rFonts w:ascii="Bookman Old Style" w:hAnsi="Bookman Old Style" w:cs="Arial"/>
          <w:bCs/>
          <w:sz w:val="28"/>
          <w:szCs w:val="24"/>
        </w:rPr>
        <w:t xml:space="preserve">meritar </w:t>
      </w:r>
      <w:r w:rsidRPr="003F73BE">
        <w:rPr>
          <w:rFonts w:ascii="Bookman Old Style" w:hAnsi="Bookman Old Style" w:cs="Arial"/>
          <w:bCs/>
          <w:sz w:val="28"/>
          <w:szCs w:val="24"/>
        </w:rPr>
        <w:t>la</w:t>
      </w:r>
      <w:r>
        <w:rPr>
          <w:rFonts w:ascii="Bookman Old Style" w:hAnsi="Bookman Old Style" w:cs="Arial"/>
          <w:bCs/>
          <w:sz w:val="28"/>
          <w:szCs w:val="24"/>
        </w:rPr>
        <w:t xml:space="preserve"> alegada violación de sus </w:t>
      </w:r>
      <w:r>
        <w:rPr>
          <w:rFonts w:ascii="Bookman Old Style" w:hAnsi="Bookman Old Style" w:cs="Arial"/>
          <w:bCs/>
          <w:sz w:val="28"/>
          <w:szCs w:val="28"/>
        </w:rPr>
        <w:t>atribuciones esenciales.</w:t>
      </w:r>
    </w:p>
    <w:p w:rsidR="00157355" w:rsidRPr="008D623B" w:rsidRDefault="00157355" w:rsidP="00157355">
      <w:pPr>
        <w:spacing w:line="360" w:lineRule="auto"/>
        <w:ind w:firstLine="708"/>
        <w:jc w:val="both"/>
        <w:rPr>
          <w:rFonts w:ascii="Bookman Old Style" w:hAnsi="Bookman Old Style" w:cs="Arial"/>
          <w:bCs/>
          <w:sz w:val="28"/>
          <w:szCs w:val="28"/>
        </w:rPr>
      </w:pPr>
    </w:p>
    <w:p w:rsidR="00157355" w:rsidRPr="008D623B" w:rsidRDefault="00157355" w:rsidP="00157355">
      <w:pPr>
        <w:pStyle w:val="Sangradetextonormal"/>
        <w:spacing w:after="0" w:line="360" w:lineRule="auto"/>
        <w:ind w:left="0" w:firstLine="709"/>
        <w:jc w:val="both"/>
        <w:textAlignment w:val="auto"/>
        <w:rPr>
          <w:rFonts w:ascii="Bookman Old Style" w:hAnsi="Bookman Old Style"/>
          <w:iCs/>
          <w:sz w:val="28"/>
          <w:szCs w:val="24"/>
        </w:rPr>
      </w:pPr>
      <w:r>
        <w:rPr>
          <w:rFonts w:ascii="Bookman Old Style" w:hAnsi="Bookman Old Style" w:cs="Arial"/>
          <w:sz w:val="28"/>
          <w:szCs w:val="28"/>
        </w:rPr>
        <w:t>En este punto</w:t>
      </w:r>
      <w:r w:rsidRPr="008D623B">
        <w:rPr>
          <w:rFonts w:ascii="Bookman Old Style" w:hAnsi="Bookman Old Style" w:cs="Arial"/>
          <w:sz w:val="28"/>
          <w:szCs w:val="28"/>
        </w:rPr>
        <w:t xml:space="preserve"> vale la pena recordar que la acción prevista en el canon 86 de la Constitución Política, como herramienta excepcional que es, no constituye un </w:t>
      </w:r>
      <w:r>
        <w:rPr>
          <w:rFonts w:ascii="Bookman Old Style" w:hAnsi="Bookman Old Style" w:cs="Arial"/>
          <w:sz w:val="28"/>
          <w:szCs w:val="28"/>
        </w:rPr>
        <w:t>camino</w:t>
      </w:r>
      <w:r w:rsidRPr="008D623B">
        <w:rPr>
          <w:rFonts w:ascii="Bookman Old Style" w:hAnsi="Bookman Old Style" w:cs="Arial"/>
          <w:sz w:val="28"/>
          <w:szCs w:val="28"/>
        </w:rPr>
        <w:t xml:space="preserve"> idóne</w:t>
      </w:r>
      <w:r>
        <w:rPr>
          <w:rFonts w:ascii="Bookman Old Style" w:hAnsi="Bookman Old Style" w:cs="Arial"/>
          <w:sz w:val="28"/>
          <w:szCs w:val="28"/>
        </w:rPr>
        <w:t>o</w:t>
      </w:r>
      <w:r w:rsidRPr="008D623B">
        <w:rPr>
          <w:rFonts w:ascii="Bookman Old Style" w:hAnsi="Bookman Old Style" w:cs="Arial"/>
          <w:sz w:val="28"/>
          <w:szCs w:val="28"/>
        </w:rPr>
        <w:t xml:space="preserve"> para hacer valer </w:t>
      </w:r>
      <w:r w:rsidRPr="008D623B">
        <w:rPr>
          <w:rFonts w:ascii="Bookman Old Style" w:hAnsi="Bookman Old Style"/>
          <w:iCs/>
          <w:sz w:val="28"/>
          <w:szCs w:val="24"/>
        </w:rPr>
        <w:t xml:space="preserve">divergencias meramente interpretativas en torno al alcance de </w:t>
      </w:r>
      <w:r>
        <w:rPr>
          <w:rFonts w:ascii="Bookman Old Style" w:hAnsi="Bookman Old Style"/>
          <w:iCs/>
          <w:sz w:val="28"/>
          <w:szCs w:val="24"/>
        </w:rPr>
        <w:t>la ley</w:t>
      </w:r>
      <w:r w:rsidRPr="008D623B">
        <w:rPr>
          <w:rFonts w:ascii="Bookman Old Style" w:hAnsi="Bookman Old Style"/>
          <w:iCs/>
          <w:sz w:val="28"/>
          <w:szCs w:val="24"/>
        </w:rPr>
        <w:t xml:space="preserve"> o los </w:t>
      </w:r>
      <w:r w:rsidRPr="008D623B">
        <w:rPr>
          <w:rFonts w:ascii="Bookman Old Style" w:hAnsi="Bookman Old Style"/>
          <w:i/>
          <w:iCs/>
          <w:sz w:val="28"/>
          <w:szCs w:val="24"/>
        </w:rPr>
        <w:t>«elementos probatorios»</w:t>
      </w:r>
      <w:r w:rsidRPr="008D623B">
        <w:rPr>
          <w:rFonts w:ascii="Bookman Old Style" w:hAnsi="Bookman Old Style"/>
          <w:iCs/>
          <w:sz w:val="28"/>
          <w:szCs w:val="24"/>
        </w:rPr>
        <w:t xml:space="preserve"> acopiados, pues, según lo ha indicado la Corte, </w:t>
      </w:r>
    </w:p>
    <w:p w:rsidR="00157355" w:rsidRPr="008D623B" w:rsidRDefault="00157355" w:rsidP="00157355">
      <w:pPr>
        <w:pStyle w:val="Sangradetextonormal"/>
        <w:spacing w:after="0" w:line="276" w:lineRule="auto"/>
        <w:ind w:left="0" w:firstLine="709"/>
        <w:jc w:val="both"/>
        <w:textAlignment w:val="auto"/>
        <w:rPr>
          <w:rFonts w:ascii="Bookman Old Style" w:hAnsi="Bookman Old Style"/>
          <w:iCs/>
          <w:sz w:val="28"/>
          <w:szCs w:val="24"/>
        </w:rPr>
      </w:pPr>
    </w:p>
    <w:p w:rsidR="00157355" w:rsidRDefault="00157355" w:rsidP="00157355">
      <w:pPr>
        <w:pStyle w:val="Sangradetextonormal"/>
        <w:spacing w:after="0" w:line="360" w:lineRule="auto"/>
        <w:ind w:left="708" w:firstLine="1"/>
        <w:jc w:val="both"/>
        <w:textAlignment w:val="auto"/>
        <w:rPr>
          <w:rFonts w:ascii="Bookman Old Style" w:hAnsi="Bookman Old Style" w:cs="Arial"/>
          <w:sz w:val="24"/>
          <w:szCs w:val="28"/>
        </w:rPr>
      </w:pPr>
    </w:p>
    <w:p w:rsidR="00157355" w:rsidRDefault="00157355" w:rsidP="00157355">
      <w:pPr>
        <w:pStyle w:val="Sangradetextonormal"/>
        <w:spacing w:after="0" w:line="360" w:lineRule="auto"/>
        <w:ind w:left="708" w:firstLine="1"/>
        <w:jc w:val="both"/>
        <w:textAlignment w:val="auto"/>
        <w:rPr>
          <w:rFonts w:ascii="Bookman Old Style" w:hAnsi="Bookman Old Style" w:cs="Arial"/>
          <w:sz w:val="24"/>
          <w:szCs w:val="28"/>
        </w:rPr>
      </w:pPr>
    </w:p>
    <w:p w:rsidR="00157355" w:rsidRPr="008D623B" w:rsidRDefault="00157355" w:rsidP="00157355">
      <w:pPr>
        <w:pStyle w:val="Sangradetextonormal"/>
        <w:spacing w:after="0" w:line="360" w:lineRule="auto"/>
        <w:ind w:left="708" w:firstLine="1"/>
        <w:jc w:val="both"/>
        <w:textAlignment w:val="auto"/>
        <w:rPr>
          <w:rFonts w:ascii="Bookman Old Style" w:hAnsi="Bookman Old Style"/>
          <w:iCs/>
          <w:sz w:val="24"/>
          <w:szCs w:val="24"/>
        </w:rPr>
      </w:pPr>
      <w:r w:rsidRPr="008D623B">
        <w:rPr>
          <w:rFonts w:ascii="Bookman Old Style" w:hAnsi="Bookman Old Style" w:cs="Arial"/>
          <w:sz w:val="24"/>
          <w:szCs w:val="28"/>
        </w:rPr>
        <w:t>«</w:t>
      </w:r>
      <w:r w:rsidRPr="008D623B">
        <w:rPr>
          <w:rFonts w:ascii="Bookman Old Style" w:hAnsi="Bookman Old Style"/>
          <w:bCs/>
          <w:i/>
          <w:iCs/>
          <w:sz w:val="24"/>
          <w:szCs w:val="28"/>
        </w:rPr>
        <w:t>no está concebida para deslegitimar, sustituir o reemplazar la labor intelectual de los funcionarios encargados de administrar justicia, mucho menos cuando la que han hecho no resulta contraria a la razón y es sostenible frente al ataque emprendido por el promotor del amparo por no ser antojadizo ni caprichoso y, en consecuencia, sin alcance lesivo frente a las prerrogativas esenciales invocadas en el mencionado libelo</w:t>
      </w:r>
      <w:r w:rsidRPr="008D623B">
        <w:rPr>
          <w:rFonts w:ascii="Bookman Old Style" w:hAnsi="Bookman Old Style"/>
          <w:bCs/>
          <w:iCs/>
          <w:sz w:val="24"/>
          <w:szCs w:val="28"/>
        </w:rPr>
        <w:t xml:space="preserve">» (CSJ STC, 6  </w:t>
      </w:r>
      <w:proofErr w:type="spellStart"/>
      <w:r w:rsidRPr="008D623B">
        <w:rPr>
          <w:rFonts w:ascii="Bookman Old Style" w:hAnsi="Bookman Old Style"/>
          <w:bCs/>
          <w:iCs/>
          <w:sz w:val="24"/>
          <w:szCs w:val="28"/>
        </w:rPr>
        <w:t>may</w:t>
      </w:r>
      <w:proofErr w:type="spellEnd"/>
      <w:r w:rsidRPr="008D623B">
        <w:rPr>
          <w:rFonts w:ascii="Bookman Old Style" w:hAnsi="Bookman Old Style"/>
          <w:bCs/>
          <w:iCs/>
          <w:sz w:val="24"/>
          <w:szCs w:val="28"/>
        </w:rPr>
        <w:t>. 2011, Rad. 00829-00; reiterada, entre otras, en STC,9232-2018).</w:t>
      </w:r>
    </w:p>
    <w:p w:rsidR="00157355" w:rsidRPr="008D623B" w:rsidRDefault="00157355" w:rsidP="00157355">
      <w:pPr>
        <w:spacing w:line="480" w:lineRule="auto"/>
        <w:ind w:firstLine="708"/>
        <w:jc w:val="both"/>
        <w:rPr>
          <w:rFonts w:ascii="Bookman Old Style" w:hAnsi="Bookman Old Style" w:cs="Arial"/>
          <w:sz w:val="28"/>
          <w:szCs w:val="28"/>
        </w:rPr>
      </w:pPr>
    </w:p>
    <w:p w:rsidR="00157355" w:rsidRPr="00BD1D12" w:rsidRDefault="00157355" w:rsidP="00157355">
      <w:pPr>
        <w:spacing w:line="360" w:lineRule="auto"/>
        <w:ind w:firstLine="708"/>
        <w:jc w:val="both"/>
        <w:rPr>
          <w:rFonts w:ascii="Bookman Old Style" w:hAnsi="Bookman Old Style" w:cs="Arial"/>
          <w:sz w:val="28"/>
          <w:szCs w:val="28"/>
        </w:rPr>
      </w:pPr>
      <w:r>
        <w:rPr>
          <w:rFonts w:ascii="Bookman Old Style" w:hAnsi="Bookman Old Style" w:cs="Arial"/>
          <w:sz w:val="28"/>
          <w:szCs w:val="28"/>
        </w:rPr>
        <w:lastRenderedPageBreak/>
        <w:t>3</w:t>
      </w:r>
      <w:r w:rsidRPr="00C93632">
        <w:rPr>
          <w:rFonts w:ascii="Bookman Old Style" w:hAnsi="Bookman Old Style" w:cs="Arial"/>
          <w:sz w:val="28"/>
          <w:szCs w:val="28"/>
        </w:rPr>
        <w:t xml:space="preserve">.- </w:t>
      </w:r>
      <w:r>
        <w:rPr>
          <w:rFonts w:ascii="Bookman Old Style" w:hAnsi="Bookman Old Style" w:cs="Arial"/>
          <w:sz w:val="28"/>
          <w:szCs w:val="28"/>
        </w:rPr>
        <w:tab/>
      </w:r>
      <w:r>
        <w:rPr>
          <w:rFonts w:ascii="Bookman Old Style" w:hAnsi="Bookman Old Style" w:cs="Arial"/>
          <w:sz w:val="28"/>
          <w:szCs w:val="28"/>
          <w:lang w:val="es-ES"/>
        </w:rPr>
        <w:t xml:space="preserve">Son estas </w:t>
      </w:r>
      <w:r w:rsidRPr="00602F2E">
        <w:rPr>
          <w:rFonts w:ascii="Bookman Old Style" w:hAnsi="Bookman Old Style" w:cs="Arial"/>
          <w:sz w:val="28"/>
          <w:szCs w:val="28"/>
          <w:lang w:val="es-ES"/>
        </w:rPr>
        <w:t>breves</w:t>
      </w:r>
      <w:r w:rsidRPr="00602F2E">
        <w:rPr>
          <w:rFonts w:ascii="Bookman Old Style" w:hAnsi="Bookman Old Style" w:cs="Arial"/>
          <w:sz w:val="28"/>
          <w:szCs w:val="28"/>
        </w:rPr>
        <w:t xml:space="preserve"> razones </w:t>
      </w:r>
      <w:r>
        <w:rPr>
          <w:rFonts w:ascii="Bookman Old Style" w:hAnsi="Bookman Old Style" w:cs="Arial"/>
          <w:sz w:val="28"/>
          <w:szCs w:val="28"/>
        </w:rPr>
        <w:t>las que conllevan</w:t>
      </w:r>
      <w:r w:rsidRPr="00BD1D12">
        <w:rPr>
          <w:rFonts w:ascii="Bookman Old Style" w:hAnsi="Bookman Old Style" w:cs="Arial"/>
          <w:sz w:val="28"/>
          <w:szCs w:val="28"/>
        </w:rPr>
        <w:t xml:space="preserve"> </w:t>
      </w:r>
      <w:r>
        <w:rPr>
          <w:rFonts w:ascii="Bookman Old Style" w:hAnsi="Bookman Old Style" w:cs="Arial"/>
          <w:sz w:val="28"/>
          <w:szCs w:val="28"/>
        </w:rPr>
        <w:t xml:space="preserve">el fracaso del </w:t>
      </w:r>
      <w:r w:rsidRPr="00BD1D12">
        <w:rPr>
          <w:rFonts w:ascii="Bookman Old Style" w:hAnsi="Bookman Old Style" w:cs="Arial"/>
          <w:sz w:val="28"/>
          <w:szCs w:val="28"/>
        </w:rPr>
        <w:t>socorro instado.</w:t>
      </w:r>
    </w:p>
    <w:p w:rsidR="00157355" w:rsidRPr="00FA37F2" w:rsidRDefault="00157355" w:rsidP="00157355">
      <w:pPr>
        <w:spacing w:line="276" w:lineRule="auto"/>
        <w:jc w:val="center"/>
        <w:rPr>
          <w:rFonts w:ascii="Bookman Old Style" w:hAnsi="Bookman Old Style" w:cs="Arial"/>
          <w:b/>
          <w:sz w:val="28"/>
          <w:szCs w:val="28"/>
          <w:lang w:val="es-CO"/>
        </w:rPr>
      </w:pPr>
    </w:p>
    <w:p w:rsidR="00157355" w:rsidRPr="00BD1D12" w:rsidRDefault="00157355" w:rsidP="00157355">
      <w:pPr>
        <w:pStyle w:val="Textoindependiente"/>
        <w:spacing w:after="0" w:line="360" w:lineRule="auto"/>
        <w:jc w:val="center"/>
        <w:rPr>
          <w:rFonts w:ascii="Bookman Old Style" w:hAnsi="Bookman Old Style" w:cs="Arial"/>
          <w:b/>
          <w:bCs/>
          <w:sz w:val="28"/>
          <w:szCs w:val="28"/>
          <w:lang w:val="es-ES_tradnl"/>
        </w:rPr>
      </w:pPr>
      <w:r w:rsidRPr="00BD1D12">
        <w:rPr>
          <w:rFonts w:ascii="Bookman Old Style" w:hAnsi="Bookman Old Style" w:cs="Arial"/>
          <w:b/>
          <w:bCs/>
          <w:sz w:val="28"/>
          <w:szCs w:val="28"/>
          <w:lang w:val="es-ES_tradnl"/>
        </w:rPr>
        <w:t>DECISIÓN</w:t>
      </w:r>
    </w:p>
    <w:p w:rsidR="00157355" w:rsidRPr="00BD1D12" w:rsidRDefault="00157355" w:rsidP="00157355">
      <w:pPr>
        <w:pStyle w:val="Textoindependiente"/>
        <w:spacing w:after="0" w:line="276" w:lineRule="auto"/>
        <w:rPr>
          <w:rFonts w:ascii="Bookman Old Style" w:hAnsi="Bookman Old Style" w:cs="Arial"/>
          <w:bCs/>
          <w:sz w:val="28"/>
          <w:szCs w:val="28"/>
          <w:lang w:val="es-ES_tradnl"/>
        </w:rPr>
      </w:pPr>
    </w:p>
    <w:p w:rsidR="00157355" w:rsidRDefault="00157355" w:rsidP="00157355">
      <w:pPr>
        <w:pStyle w:val="Textoindependiente"/>
        <w:spacing w:after="0" w:line="360" w:lineRule="auto"/>
        <w:ind w:firstLine="709"/>
        <w:jc w:val="both"/>
        <w:rPr>
          <w:rFonts w:ascii="Bookman Old Style" w:hAnsi="Bookman Old Style" w:cs="Arial"/>
          <w:bCs/>
          <w:sz w:val="28"/>
          <w:szCs w:val="28"/>
          <w:lang w:val="es-ES_tradnl"/>
        </w:rPr>
      </w:pPr>
      <w:r w:rsidRPr="00BD1D12">
        <w:rPr>
          <w:rFonts w:ascii="Bookman Old Style" w:hAnsi="Bookman Old Style" w:cs="Arial"/>
          <w:bCs/>
          <w:sz w:val="28"/>
          <w:szCs w:val="28"/>
          <w:lang w:val="es-ES_tradnl"/>
        </w:rPr>
        <w:t>En mérito de lo expuesto, la Corte Suprema de Justicia, en Sala de Casación Civil, administrando justicia en nombre de la República y por mandato de la Constitución,</w:t>
      </w:r>
    </w:p>
    <w:p w:rsidR="00157355" w:rsidRDefault="00157355" w:rsidP="00157355">
      <w:pPr>
        <w:pStyle w:val="Textoindependiente"/>
        <w:spacing w:after="0" w:line="360" w:lineRule="auto"/>
        <w:ind w:firstLine="851"/>
        <w:jc w:val="both"/>
        <w:rPr>
          <w:rFonts w:ascii="Bookman Old Style" w:hAnsi="Bookman Old Style" w:cs="Arial"/>
          <w:bCs/>
          <w:sz w:val="28"/>
          <w:szCs w:val="28"/>
          <w:lang w:val="es-ES_tradnl"/>
        </w:rPr>
      </w:pPr>
    </w:p>
    <w:p w:rsidR="00157355" w:rsidRDefault="00157355" w:rsidP="00157355">
      <w:pPr>
        <w:pStyle w:val="Textoindependiente"/>
        <w:spacing w:after="0" w:line="360" w:lineRule="auto"/>
        <w:jc w:val="center"/>
        <w:rPr>
          <w:rFonts w:ascii="Bookman Old Style" w:hAnsi="Bookman Old Style" w:cs="Arial"/>
          <w:b/>
          <w:bCs/>
          <w:sz w:val="28"/>
          <w:szCs w:val="28"/>
          <w:lang w:val="es-ES_tradnl"/>
        </w:rPr>
      </w:pPr>
      <w:r w:rsidRPr="00693301">
        <w:rPr>
          <w:rFonts w:ascii="Bookman Old Style" w:hAnsi="Bookman Old Style" w:cs="Arial"/>
          <w:b/>
          <w:bCs/>
          <w:sz w:val="28"/>
          <w:szCs w:val="28"/>
          <w:lang w:val="es-ES_tradnl"/>
        </w:rPr>
        <w:t>RESUELVE</w:t>
      </w:r>
      <w:r>
        <w:rPr>
          <w:rFonts w:ascii="Bookman Old Style" w:hAnsi="Bookman Old Style" w:cs="Arial"/>
          <w:b/>
          <w:bCs/>
          <w:sz w:val="28"/>
          <w:szCs w:val="28"/>
          <w:lang w:val="es-ES_tradnl"/>
        </w:rPr>
        <w:t>:</w:t>
      </w:r>
    </w:p>
    <w:p w:rsidR="00157355" w:rsidRDefault="00157355" w:rsidP="00157355">
      <w:pPr>
        <w:spacing w:line="360" w:lineRule="auto"/>
        <w:ind w:firstLine="708"/>
        <w:jc w:val="both"/>
        <w:rPr>
          <w:rFonts w:ascii="Bookman Old Style" w:hAnsi="Bookman Old Style"/>
          <w:b/>
          <w:sz w:val="28"/>
          <w:szCs w:val="28"/>
        </w:rPr>
      </w:pPr>
    </w:p>
    <w:p w:rsidR="00157355" w:rsidRDefault="00157355" w:rsidP="00157355">
      <w:pPr>
        <w:spacing w:line="360" w:lineRule="auto"/>
        <w:ind w:firstLine="708"/>
        <w:jc w:val="both"/>
        <w:rPr>
          <w:rFonts w:ascii="Bookman Old Style" w:hAnsi="Bookman Old Style" w:cs="Arial"/>
          <w:sz w:val="28"/>
          <w:szCs w:val="28"/>
        </w:rPr>
      </w:pPr>
      <w:r w:rsidRPr="00B36DCA">
        <w:rPr>
          <w:rFonts w:ascii="Bookman Old Style" w:hAnsi="Bookman Old Style"/>
          <w:b/>
          <w:sz w:val="28"/>
          <w:szCs w:val="28"/>
        </w:rPr>
        <w:t>PRIMERO:</w:t>
      </w:r>
      <w:r>
        <w:rPr>
          <w:rFonts w:ascii="Bookman Old Style" w:hAnsi="Bookman Old Style"/>
          <w:b/>
          <w:sz w:val="28"/>
          <w:szCs w:val="28"/>
        </w:rPr>
        <w:t xml:space="preserve"> </w:t>
      </w:r>
      <w:r>
        <w:rPr>
          <w:rFonts w:ascii="Bookman Old Style" w:hAnsi="Bookman Old Style"/>
          <w:b/>
          <w:sz w:val="28"/>
          <w:szCs w:val="28"/>
        </w:rPr>
        <w:tab/>
      </w:r>
      <w:r w:rsidRPr="00BD1D12">
        <w:rPr>
          <w:rFonts w:ascii="Bookman Old Style" w:hAnsi="Bookman Old Style" w:cs="Arial"/>
          <w:b/>
          <w:bCs/>
          <w:sz w:val="28"/>
          <w:szCs w:val="28"/>
        </w:rPr>
        <w:t>NEGAR</w:t>
      </w:r>
      <w:r w:rsidRPr="00BD1D12">
        <w:rPr>
          <w:rFonts w:ascii="Bookman Old Style" w:hAnsi="Bookman Old Style" w:cs="Arial"/>
          <w:bCs/>
          <w:sz w:val="28"/>
          <w:szCs w:val="28"/>
        </w:rPr>
        <w:t xml:space="preserve"> </w:t>
      </w:r>
      <w:r>
        <w:rPr>
          <w:rFonts w:ascii="Bookman Old Style" w:hAnsi="Bookman Old Style" w:cs="Arial"/>
          <w:bCs/>
          <w:sz w:val="28"/>
          <w:szCs w:val="28"/>
        </w:rPr>
        <w:t>e</w:t>
      </w:r>
      <w:r w:rsidRPr="00BD1D12">
        <w:rPr>
          <w:rFonts w:ascii="Bookman Old Style" w:hAnsi="Bookman Old Style" w:cs="Arial"/>
          <w:bCs/>
          <w:sz w:val="28"/>
          <w:szCs w:val="28"/>
        </w:rPr>
        <w:t>l auxilio</w:t>
      </w:r>
      <w:r>
        <w:rPr>
          <w:rFonts w:ascii="Bookman Old Style" w:hAnsi="Bookman Old Style" w:cs="Arial"/>
          <w:bCs/>
          <w:sz w:val="28"/>
          <w:szCs w:val="28"/>
        </w:rPr>
        <w:t xml:space="preserve"> constitucional </w:t>
      </w:r>
      <w:r w:rsidRPr="00BD1D12">
        <w:rPr>
          <w:rFonts w:ascii="Bookman Old Style" w:hAnsi="Bookman Old Style" w:cs="Arial"/>
          <w:bCs/>
          <w:sz w:val="28"/>
          <w:szCs w:val="28"/>
        </w:rPr>
        <w:t>exhortad</w:t>
      </w:r>
      <w:r>
        <w:rPr>
          <w:rFonts w:ascii="Bookman Old Style" w:hAnsi="Bookman Old Style" w:cs="Arial"/>
          <w:bCs/>
          <w:sz w:val="28"/>
          <w:szCs w:val="28"/>
        </w:rPr>
        <w:t>o</w:t>
      </w:r>
      <w:r w:rsidRPr="00BD1D12">
        <w:rPr>
          <w:rFonts w:ascii="Bookman Old Style" w:hAnsi="Bookman Old Style" w:cs="Arial"/>
          <w:bCs/>
          <w:sz w:val="28"/>
          <w:szCs w:val="28"/>
        </w:rPr>
        <w:t xml:space="preserve"> por </w:t>
      </w:r>
      <w:r>
        <w:rPr>
          <w:rFonts w:ascii="Bookman Old Style" w:hAnsi="Bookman Old Style" w:cs="Arial"/>
          <w:bCs/>
          <w:sz w:val="28"/>
          <w:szCs w:val="28"/>
        </w:rPr>
        <w:t>Viajeros S.A., por los motivos expuestos en la parte motiva de esta providencia.</w:t>
      </w:r>
    </w:p>
    <w:p w:rsidR="00157355" w:rsidRDefault="00157355" w:rsidP="00157355">
      <w:pPr>
        <w:spacing w:line="360" w:lineRule="auto"/>
        <w:ind w:firstLine="708"/>
        <w:jc w:val="both"/>
        <w:rPr>
          <w:rFonts w:ascii="Bookman Old Style" w:hAnsi="Bookman Old Style" w:cs="Arial"/>
          <w:sz w:val="28"/>
          <w:szCs w:val="28"/>
        </w:rPr>
      </w:pPr>
    </w:p>
    <w:p w:rsidR="00157355" w:rsidRPr="00BD1D12" w:rsidRDefault="00157355" w:rsidP="00157355">
      <w:pPr>
        <w:spacing w:line="360" w:lineRule="auto"/>
        <w:ind w:firstLine="708"/>
        <w:jc w:val="both"/>
        <w:rPr>
          <w:rFonts w:ascii="Bookman Old Style" w:hAnsi="Bookman Old Style" w:cs="Arial"/>
          <w:b/>
          <w:bCs/>
          <w:sz w:val="28"/>
          <w:szCs w:val="28"/>
        </w:rPr>
      </w:pPr>
      <w:r>
        <w:rPr>
          <w:rFonts w:ascii="Bookman Old Style" w:hAnsi="Bookman Old Style"/>
          <w:b/>
          <w:sz w:val="28"/>
          <w:szCs w:val="28"/>
        </w:rPr>
        <w:t xml:space="preserve">SEGUNDO:   </w:t>
      </w:r>
      <w:r>
        <w:rPr>
          <w:rFonts w:ascii="Bookman Old Style" w:hAnsi="Bookman Old Style"/>
          <w:b/>
          <w:sz w:val="28"/>
          <w:szCs w:val="28"/>
        </w:rPr>
        <w:tab/>
      </w:r>
      <w:r w:rsidRPr="008349E6">
        <w:rPr>
          <w:rFonts w:ascii="Bookman Old Style" w:hAnsi="Bookman Old Style"/>
          <w:sz w:val="28"/>
          <w:szCs w:val="28"/>
        </w:rPr>
        <w:t>Infórmes</w:t>
      </w:r>
      <w:r>
        <w:rPr>
          <w:rFonts w:ascii="Bookman Old Style" w:hAnsi="Bookman Old Style"/>
          <w:sz w:val="28"/>
          <w:szCs w:val="28"/>
        </w:rPr>
        <w:t>e a las partes e intervinientes por el medio más expedito y r</w:t>
      </w:r>
      <w:r w:rsidRPr="008349E6">
        <w:rPr>
          <w:rFonts w:ascii="Bookman Old Style" w:hAnsi="Bookman Old Style"/>
          <w:sz w:val="28"/>
          <w:szCs w:val="28"/>
        </w:rPr>
        <w:t>emítase el expediente a la Corte Constituc</w:t>
      </w:r>
      <w:r>
        <w:rPr>
          <w:rFonts w:ascii="Bookman Old Style" w:hAnsi="Bookman Old Style"/>
          <w:sz w:val="28"/>
          <w:szCs w:val="28"/>
        </w:rPr>
        <w:t>ional para su eventual revisión, si este fallo no es impugnado</w:t>
      </w:r>
      <w:r w:rsidRPr="00BD1D12">
        <w:rPr>
          <w:rFonts w:ascii="Bookman Old Style" w:hAnsi="Bookman Old Style" w:cs="Arial"/>
          <w:bCs/>
          <w:sz w:val="28"/>
          <w:szCs w:val="28"/>
        </w:rPr>
        <w:t>.</w:t>
      </w:r>
    </w:p>
    <w:p w:rsidR="00157355" w:rsidRDefault="00157355" w:rsidP="00157355">
      <w:pPr>
        <w:pStyle w:val="Textoindependiente"/>
        <w:spacing w:after="0" w:line="276" w:lineRule="auto"/>
        <w:rPr>
          <w:rFonts w:ascii="Bookman Old Style" w:hAnsi="Bookman Old Style" w:cs="Arial"/>
          <w:b/>
          <w:bCs/>
          <w:sz w:val="28"/>
          <w:szCs w:val="28"/>
          <w:lang w:val="es-ES_tradnl"/>
        </w:rPr>
      </w:pPr>
    </w:p>
    <w:p w:rsidR="00157355" w:rsidRDefault="00157355" w:rsidP="00157355">
      <w:pPr>
        <w:pStyle w:val="Textoindependiente"/>
        <w:spacing w:after="0" w:line="276" w:lineRule="auto"/>
        <w:rPr>
          <w:rFonts w:ascii="Bookman Old Style" w:hAnsi="Bookman Old Style" w:cs="Arial"/>
          <w:b/>
          <w:bCs/>
          <w:sz w:val="28"/>
          <w:szCs w:val="28"/>
          <w:lang w:val="es-ES_tradnl"/>
        </w:rPr>
      </w:pPr>
    </w:p>
    <w:p w:rsidR="00157355" w:rsidRPr="00BD1D12" w:rsidRDefault="00157355" w:rsidP="00157355">
      <w:pPr>
        <w:pStyle w:val="Textoindependiente"/>
        <w:spacing w:after="0" w:line="276" w:lineRule="auto"/>
        <w:rPr>
          <w:rFonts w:ascii="Bookman Old Style" w:hAnsi="Bookman Old Style" w:cs="Arial"/>
          <w:b/>
          <w:bCs/>
          <w:sz w:val="28"/>
          <w:szCs w:val="28"/>
          <w:lang w:val="es-ES_tradnl"/>
        </w:rPr>
      </w:pPr>
    </w:p>
    <w:p w:rsidR="00157355" w:rsidRPr="00BD1D12" w:rsidRDefault="00157355" w:rsidP="00157355">
      <w:pPr>
        <w:pStyle w:val="Textoindependiente"/>
        <w:spacing w:after="0" w:line="360" w:lineRule="auto"/>
        <w:jc w:val="center"/>
        <w:rPr>
          <w:rFonts w:ascii="Bookman Old Style" w:hAnsi="Bookman Old Style" w:cs="Arial"/>
          <w:b/>
          <w:bCs/>
          <w:sz w:val="28"/>
          <w:szCs w:val="28"/>
          <w:lang w:val="es-ES_tradnl"/>
        </w:rPr>
      </w:pPr>
      <w:r w:rsidRPr="00BD1D12">
        <w:rPr>
          <w:rFonts w:ascii="Bookman Old Style" w:hAnsi="Bookman Old Style" w:cs="Arial"/>
          <w:b/>
          <w:bCs/>
          <w:sz w:val="28"/>
          <w:szCs w:val="28"/>
          <w:lang w:val="es-ES_tradnl"/>
        </w:rPr>
        <w:t>NOTIFÍQUESE Y CÚMPLASE</w:t>
      </w:r>
    </w:p>
    <w:p w:rsidR="00157355" w:rsidRPr="00BD1D12" w:rsidRDefault="00157355" w:rsidP="00157355">
      <w:pPr>
        <w:tabs>
          <w:tab w:val="left" w:pos="3482"/>
        </w:tabs>
        <w:spacing w:line="360" w:lineRule="auto"/>
        <w:rPr>
          <w:rFonts w:ascii="Bookman Old Style" w:hAnsi="Bookman Old Style" w:cs="Arial"/>
          <w:b/>
          <w:bCs/>
          <w:sz w:val="28"/>
          <w:szCs w:val="28"/>
          <w:lang w:val="es-CO"/>
        </w:rPr>
      </w:pPr>
      <w:r w:rsidRPr="00BD1D12">
        <w:rPr>
          <w:rFonts w:ascii="Bookman Old Style" w:hAnsi="Bookman Old Style" w:cs="Arial"/>
          <w:b/>
          <w:bCs/>
          <w:sz w:val="28"/>
          <w:szCs w:val="28"/>
          <w:lang w:val="es-CO"/>
        </w:rPr>
        <w:tab/>
      </w:r>
    </w:p>
    <w:p w:rsidR="00157355" w:rsidRDefault="00157355" w:rsidP="00157355">
      <w:pPr>
        <w:tabs>
          <w:tab w:val="left" w:pos="3482"/>
        </w:tabs>
        <w:spacing w:line="480" w:lineRule="auto"/>
        <w:rPr>
          <w:rFonts w:ascii="Bookman Old Style" w:hAnsi="Bookman Old Style" w:cs="Arial"/>
          <w:b/>
          <w:bCs/>
          <w:sz w:val="28"/>
          <w:szCs w:val="28"/>
          <w:lang w:val="es-CO"/>
        </w:rPr>
      </w:pPr>
    </w:p>
    <w:p w:rsidR="00157355" w:rsidRPr="00BD1D12" w:rsidRDefault="00157355" w:rsidP="00157355">
      <w:pPr>
        <w:tabs>
          <w:tab w:val="left" w:pos="3482"/>
        </w:tabs>
        <w:spacing w:line="480" w:lineRule="auto"/>
        <w:rPr>
          <w:rFonts w:ascii="Bookman Old Style" w:hAnsi="Bookman Old Style" w:cs="Arial"/>
          <w:b/>
          <w:bCs/>
          <w:sz w:val="28"/>
          <w:szCs w:val="28"/>
          <w:lang w:val="es-CO"/>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r w:rsidRPr="00BD1D12">
        <w:rPr>
          <w:rFonts w:ascii="Bookman Old Style" w:hAnsi="Bookman Old Style" w:cs="Tahoma"/>
          <w:b/>
          <w:sz w:val="28"/>
          <w:szCs w:val="28"/>
        </w:rPr>
        <w:t>OCTAVIO AUGUSTO TEJEIRO DUQUE</w:t>
      </w:r>
    </w:p>
    <w:p w:rsidR="00157355" w:rsidRPr="00BD1D12" w:rsidRDefault="00157355" w:rsidP="00157355">
      <w:pPr>
        <w:spacing w:line="360" w:lineRule="auto"/>
        <w:jc w:val="center"/>
        <w:rPr>
          <w:rFonts w:ascii="Bookman Old Style" w:hAnsi="Bookman Old Style" w:cs="Arial"/>
          <w:sz w:val="28"/>
          <w:szCs w:val="28"/>
        </w:rPr>
      </w:pPr>
      <w:r w:rsidRPr="00BD1D12">
        <w:rPr>
          <w:rFonts w:ascii="Bookman Old Style" w:hAnsi="Bookman Old Style" w:cs="Arial"/>
          <w:sz w:val="28"/>
          <w:szCs w:val="28"/>
        </w:rPr>
        <w:t>Presidente de Sala</w:t>
      </w:r>
    </w:p>
    <w:p w:rsidR="00157355" w:rsidRPr="00BD1D12" w:rsidRDefault="00157355" w:rsidP="00157355">
      <w:pPr>
        <w:spacing w:line="360" w:lineRule="auto"/>
        <w:rPr>
          <w:rFonts w:ascii="Bookman Old Style" w:hAnsi="Bookman Old Style" w:cs="Arial"/>
          <w:b/>
          <w:sz w:val="28"/>
          <w:szCs w:val="28"/>
        </w:rPr>
      </w:pPr>
    </w:p>
    <w:p w:rsidR="00157355" w:rsidRDefault="00157355" w:rsidP="00157355">
      <w:pPr>
        <w:spacing w:line="360" w:lineRule="auto"/>
        <w:rPr>
          <w:rFonts w:ascii="Bookman Old Style" w:hAnsi="Bookman Old Style" w:cs="Arial"/>
          <w:b/>
          <w:sz w:val="28"/>
          <w:szCs w:val="28"/>
        </w:rPr>
      </w:pPr>
    </w:p>
    <w:p w:rsidR="00157355" w:rsidRPr="00BD1D12" w:rsidRDefault="00157355" w:rsidP="00157355">
      <w:pPr>
        <w:spacing w:line="360" w:lineRule="auto"/>
        <w:rPr>
          <w:rFonts w:ascii="Bookman Old Style" w:hAnsi="Bookman Old Style" w:cs="Arial"/>
          <w:b/>
          <w:sz w:val="28"/>
          <w:szCs w:val="28"/>
        </w:rPr>
      </w:pPr>
    </w:p>
    <w:p w:rsidR="00157355" w:rsidRPr="00BD1D12" w:rsidRDefault="00157355" w:rsidP="00157355">
      <w:pPr>
        <w:tabs>
          <w:tab w:val="left" w:pos="1560"/>
        </w:tabs>
        <w:spacing w:line="360" w:lineRule="auto"/>
        <w:jc w:val="center"/>
        <w:rPr>
          <w:rFonts w:ascii="Bookman Old Style" w:hAnsi="Bookman Old Style" w:cs="Arial"/>
          <w:b/>
          <w:sz w:val="28"/>
          <w:szCs w:val="28"/>
        </w:rPr>
      </w:pPr>
      <w:r w:rsidRPr="00BD1D12">
        <w:rPr>
          <w:rFonts w:ascii="Bookman Old Style" w:hAnsi="Bookman Old Style" w:cs="Arial"/>
          <w:b/>
          <w:sz w:val="28"/>
          <w:szCs w:val="28"/>
        </w:rPr>
        <w:t>ÁLVARO FERNANDO GARCÍA RESTREPO</w:t>
      </w:r>
    </w:p>
    <w:p w:rsidR="00157355" w:rsidRPr="00BD1D12" w:rsidRDefault="00157355" w:rsidP="00157355">
      <w:pPr>
        <w:spacing w:line="360" w:lineRule="auto"/>
        <w:rPr>
          <w:rFonts w:ascii="Bookman Old Style" w:hAnsi="Bookman Old Style" w:cs="Arial"/>
          <w:b/>
          <w:sz w:val="28"/>
          <w:szCs w:val="28"/>
        </w:rPr>
      </w:pPr>
    </w:p>
    <w:p w:rsidR="00157355" w:rsidRPr="00BD1D12" w:rsidRDefault="00157355" w:rsidP="00157355">
      <w:pPr>
        <w:spacing w:line="360" w:lineRule="auto"/>
        <w:rPr>
          <w:rFonts w:ascii="Bookman Old Style" w:hAnsi="Bookman Old Style" w:cs="Arial"/>
          <w:b/>
          <w:sz w:val="28"/>
          <w:szCs w:val="28"/>
        </w:rPr>
      </w:pPr>
    </w:p>
    <w:p w:rsidR="00157355" w:rsidRPr="00BD1D12" w:rsidRDefault="00157355" w:rsidP="00157355">
      <w:pPr>
        <w:spacing w:line="360" w:lineRule="auto"/>
        <w:rPr>
          <w:rFonts w:ascii="Bookman Old Style" w:hAnsi="Bookman Old Style" w:cs="Arial"/>
          <w:b/>
          <w:sz w:val="28"/>
          <w:szCs w:val="28"/>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r w:rsidRPr="00BD1D12">
        <w:rPr>
          <w:rFonts w:ascii="Bookman Old Style" w:hAnsi="Bookman Old Style" w:cs="Tahoma"/>
          <w:b/>
          <w:sz w:val="28"/>
          <w:szCs w:val="28"/>
        </w:rPr>
        <w:t>LUIS ALONSO RICO PUERTA</w:t>
      </w:r>
    </w:p>
    <w:p w:rsidR="00157355" w:rsidRPr="00BD1D12" w:rsidRDefault="00157355" w:rsidP="00157355">
      <w:pPr>
        <w:tabs>
          <w:tab w:val="left" w:pos="4944"/>
        </w:tabs>
        <w:spacing w:line="360" w:lineRule="auto"/>
        <w:rPr>
          <w:rFonts w:ascii="Bookman Old Style" w:hAnsi="Bookman Old Style" w:cs="Arial"/>
          <w:b/>
          <w:bCs/>
          <w:sz w:val="28"/>
          <w:szCs w:val="28"/>
          <w:lang w:val="es-CO"/>
        </w:rPr>
      </w:pPr>
    </w:p>
    <w:p w:rsidR="00157355" w:rsidRPr="00BD1D12" w:rsidRDefault="00157355" w:rsidP="00157355">
      <w:pPr>
        <w:tabs>
          <w:tab w:val="left" w:pos="4944"/>
        </w:tabs>
        <w:spacing w:line="360" w:lineRule="auto"/>
        <w:rPr>
          <w:rFonts w:ascii="Bookman Old Style" w:hAnsi="Bookman Old Style" w:cs="Arial"/>
          <w:b/>
          <w:bCs/>
          <w:sz w:val="28"/>
          <w:szCs w:val="28"/>
          <w:lang w:val="es-CO"/>
        </w:rPr>
      </w:pPr>
    </w:p>
    <w:p w:rsidR="00157355" w:rsidRPr="00BD1D12" w:rsidRDefault="00157355" w:rsidP="00157355">
      <w:pPr>
        <w:tabs>
          <w:tab w:val="left" w:pos="4944"/>
        </w:tabs>
        <w:spacing w:line="360" w:lineRule="auto"/>
        <w:rPr>
          <w:rFonts w:ascii="Bookman Old Style" w:hAnsi="Bookman Old Style" w:cs="Arial"/>
          <w:b/>
          <w:bCs/>
          <w:sz w:val="28"/>
          <w:szCs w:val="28"/>
          <w:lang w:val="es-CO"/>
        </w:rPr>
      </w:pPr>
    </w:p>
    <w:p w:rsidR="00157355" w:rsidRPr="00BD1D12" w:rsidRDefault="00157355" w:rsidP="00157355">
      <w:pPr>
        <w:tabs>
          <w:tab w:val="left" w:pos="1560"/>
        </w:tabs>
        <w:spacing w:line="360" w:lineRule="auto"/>
        <w:jc w:val="center"/>
        <w:rPr>
          <w:rFonts w:ascii="Bookman Old Style" w:hAnsi="Bookman Old Style" w:cs="Arial"/>
          <w:b/>
          <w:sz w:val="28"/>
          <w:szCs w:val="28"/>
        </w:rPr>
      </w:pPr>
      <w:r w:rsidRPr="00BD1D12">
        <w:rPr>
          <w:rFonts w:ascii="Bookman Old Style" w:hAnsi="Bookman Old Style" w:cs="Tahoma"/>
          <w:b/>
          <w:sz w:val="28"/>
          <w:szCs w:val="28"/>
        </w:rPr>
        <w:t>AROLDO WILSON QUIROZ MONSALVO</w:t>
      </w:r>
    </w:p>
    <w:p w:rsidR="00157355" w:rsidRPr="00BD1D12" w:rsidRDefault="00157355" w:rsidP="00157355">
      <w:pPr>
        <w:tabs>
          <w:tab w:val="left" w:pos="1560"/>
        </w:tabs>
        <w:spacing w:line="360" w:lineRule="auto"/>
        <w:jc w:val="center"/>
        <w:rPr>
          <w:rFonts w:ascii="Bookman Old Style" w:hAnsi="Bookman Old Style" w:cs="Tahoma"/>
          <w:b/>
          <w:sz w:val="28"/>
          <w:szCs w:val="28"/>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p>
    <w:p w:rsidR="00157355" w:rsidRPr="00BD1D12" w:rsidRDefault="00157355" w:rsidP="00157355">
      <w:pPr>
        <w:tabs>
          <w:tab w:val="left" w:pos="1560"/>
        </w:tabs>
        <w:spacing w:line="360" w:lineRule="auto"/>
        <w:jc w:val="center"/>
        <w:rPr>
          <w:rFonts w:ascii="Bookman Old Style" w:hAnsi="Bookman Old Style" w:cs="Tahoma"/>
          <w:b/>
          <w:sz w:val="28"/>
          <w:szCs w:val="28"/>
        </w:rPr>
      </w:pPr>
      <w:r w:rsidRPr="00BD1D12">
        <w:rPr>
          <w:rFonts w:ascii="Bookman Old Style" w:hAnsi="Bookman Old Style" w:cs="Tahoma"/>
          <w:b/>
          <w:sz w:val="28"/>
          <w:szCs w:val="28"/>
        </w:rPr>
        <w:t>ARIEL SALAZAR RAMÍREZ</w:t>
      </w:r>
    </w:p>
    <w:p w:rsidR="00157355" w:rsidRPr="00BD1D12" w:rsidRDefault="00157355" w:rsidP="00157355">
      <w:pPr>
        <w:spacing w:line="360" w:lineRule="auto"/>
        <w:jc w:val="center"/>
        <w:rPr>
          <w:rFonts w:ascii="Bookman Old Style" w:hAnsi="Bookman Old Style" w:cs="Arial"/>
          <w:b/>
          <w:sz w:val="28"/>
          <w:szCs w:val="28"/>
        </w:rPr>
      </w:pPr>
    </w:p>
    <w:p w:rsidR="00157355" w:rsidRPr="00BD1D12" w:rsidRDefault="00157355" w:rsidP="00157355">
      <w:pPr>
        <w:spacing w:line="360" w:lineRule="auto"/>
        <w:jc w:val="center"/>
        <w:rPr>
          <w:rFonts w:ascii="Bookman Old Style" w:hAnsi="Bookman Old Style" w:cs="Arial"/>
          <w:b/>
          <w:sz w:val="28"/>
          <w:szCs w:val="28"/>
        </w:rPr>
      </w:pPr>
    </w:p>
    <w:p w:rsidR="00157355" w:rsidRPr="00BD1D12" w:rsidRDefault="00157355" w:rsidP="00157355">
      <w:pPr>
        <w:spacing w:line="360" w:lineRule="auto"/>
        <w:rPr>
          <w:rFonts w:ascii="Bookman Old Style" w:hAnsi="Bookman Old Style" w:cs="Arial"/>
          <w:b/>
          <w:sz w:val="28"/>
          <w:szCs w:val="28"/>
        </w:rPr>
      </w:pPr>
    </w:p>
    <w:p w:rsidR="00157355" w:rsidRPr="00BD1D12" w:rsidRDefault="00157355" w:rsidP="00157355">
      <w:pPr>
        <w:spacing w:line="360" w:lineRule="auto"/>
        <w:rPr>
          <w:rFonts w:ascii="Bookman Old Style" w:hAnsi="Bookman Old Style" w:cs="Arial"/>
          <w:b/>
          <w:sz w:val="28"/>
          <w:szCs w:val="28"/>
        </w:rPr>
      </w:pPr>
    </w:p>
    <w:p w:rsidR="00157355" w:rsidRDefault="00157355" w:rsidP="00157355">
      <w:pPr>
        <w:spacing w:line="360" w:lineRule="auto"/>
        <w:jc w:val="center"/>
        <w:rPr>
          <w:rFonts w:ascii="Bookman Old Style" w:hAnsi="Bookman Old Style" w:cs="Arial"/>
          <w:b/>
          <w:sz w:val="28"/>
          <w:szCs w:val="28"/>
        </w:rPr>
      </w:pPr>
      <w:r w:rsidRPr="00BD1D12">
        <w:rPr>
          <w:rFonts w:ascii="Bookman Old Style" w:hAnsi="Bookman Old Style" w:cs="Arial"/>
          <w:b/>
          <w:sz w:val="28"/>
          <w:szCs w:val="28"/>
        </w:rPr>
        <w:lastRenderedPageBreak/>
        <w:t>LUIS ARMANDO TOLOSA VILLABONA</w:t>
      </w:r>
    </w:p>
    <w:p w:rsidR="00157355" w:rsidRDefault="00157355" w:rsidP="00157355">
      <w:pPr>
        <w:spacing w:line="360" w:lineRule="auto"/>
        <w:jc w:val="center"/>
        <w:rPr>
          <w:rFonts w:ascii="Bookman Old Style" w:hAnsi="Bookman Old Style" w:cs="Arial"/>
          <w:b/>
          <w:sz w:val="28"/>
          <w:szCs w:val="28"/>
        </w:rPr>
      </w:pPr>
    </w:p>
    <w:p w:rsidR="00DA22EA" w:rsidRDefault="00DA22EA" w:rsidP="00DA22EA"/>
    <w:p w:rsidR="00E02C16" w:rsidRDefault="00E02C16"/>
    <w:sectPr w:rsidR="00E02C16">
      <w:pgSz w:w="12242" w:h="15842"/>
      <w:pgMar w:top="2268" w:right="1701" w:bottom="1701" w:left="226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2EA"/>
    <w:rsid w:val="00005E96"/>
    <w:rsid w:val="00157355"/>
    <w:rsid w:val="001F1631"/>
    <w:rsid w:val="005912F1"/>
    <w:rsid w:val="00825CAE"/>
    <w:rsid w:val="00DA22EA"/>
    <w:rsid w:val="00E02C16"/>
    <w:rsid w:val="00F517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29BA89-BACF-4F86-B830-3573160F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355"/>
    <w:pPr>
      <w:overflowPunct w:val="0"/>
      <w:autoSpaceDE w:val="0"/>
      <w:autoSpaceDN w:val="0"/>
      <w:adjustRightInd w:val="0"/>
      <w:spacing w:line="240" w:lineRule="auto"/>
      <w:textAlignment w:val="baseline"/>
    </w:pPr>
    <w:rPr>
      <w:rFonts w:ascii="Times New Roman" w:eastAsia="Times New Roman" w:hAnsi="Times New Roman" w:cs="Times New Roman"/>
      <w:sz w:val="20"/>
      <w:szCs w:val="20"/>
      <w:lang w:val="es-ES_tradnl" w:eastAsia="es-ES"/>
    </w:rPr>
  </w:style>
  <w:style w:type="paragraph" w:styleId="Ttulo2">
    <w:name w:val="heading 2"/>
    <w:basedOn w:val="Normal"/>
    <w:next w:val="Normal"/>
    <w:link w:val="Ttulo2Car"/>
    <w:qFormat/>
    <w:rsid w:val="00157355"/>
    <w:pPr>
      <w:keepNext/>
      <w:overflowPunct/>
      <w:autoSpaceDE/>
      <w:autoSpaceDN/>
      <w:adjustRightInd/>
      <w:spacing w:line="360" w:lineRule="auto"/>
      <w:jc w:val="center"/>
      <w:textAlignment w:val="auto"/>
      <w:outlineLvl w:val="1"/>
    </w:pPr>
    <w:rPr>
      <w:rFonts w:ascii="Arial" w:hAnsi="Arial"/>
      <w:b/>
      <w:sz w:val="2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57355"/>
    <w:rPr>
      <w:rFonts w:ascii="Arial" w:eastAsia="Times New Roman" w:hAnsi="Arial" w:cs="Times New Roman"/>
      <w:b/>
      <w:sz w:val="28"/>
      <w:szCs w:val="20"/>
      <w:u w:val="single"/>
      <w:lang w:val="es-ES_tradnl" w:eastAsia="es-ES"/>
    </w:rPr>
  </w:style>
  <w:style w:type="paragraph" w:styleId="Textoindependiente">
    <w:name w:val="Body Text"/>
    <w:basedOn w:val="Normal"/>
    <w:link w:val="TextoindependienteCar"/>
    <w:rsid w:val="00157355"/>
    <w:pPr>
      <w:overflowPunct/>
      <w:autoSpaceDE/>
      <w:autoSpaceDN/>
      <w:adjustRightInd/>
      <w:spacing w:after="120"/>
      <w:textAlignment w:val="auto"/>
    </w:pPr>
    <w:rPr>
      <w:sz w:val="24"/>
      <w:szCs w:val="24"/>
      <w:lang w:val="es-ES"/>
    </w:rPr>
  </w:style>
  <w:style w:type="character" w:customStyle="1" w:styleId="TextoindependienteCar">
    <w:name w:val="Texto independiente Car"/>
    <w:basedOn w:val="Fuentedeprrafopredeter"/>
    <w:link w:val="Textoindependiente"/>
    <w:rsid w:val="00157355"/>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rsid w:val="00157355"/>
    <w:pPr>
      <w:spacing w:after="120" w:line="480" w:lineRule="auto"/>
      <w:ind w:left="283"/>
    </w:pPr>
  </w:style>
  <w:style w:type="character" w:customStyle="1" w:styleId="Sangra2detindependienteCar">
    <w:name w:val="Sangría 2 de t. independiente Car"/>
    <w:basedOn w:val="Fuentedeprrafopredeter"/>
    <w:link w:val="Sangra2detindependiente"/>
    <w:rsid w:val="00157355"/>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57355"/>
    <w:pPr>
      <w:spacing w:after="120"/>
      <w:ind w:left="283"/>
    </w:pPr>
  </w:style>
  <w:style w:type="character" w:customStyle="1" w:styleId="SangradetextonormalCar">
    <w:name w:val="Sangría de texto normal Car"/>
    <w:basedOn w:val="Fuentedeprrafopredeter"/>
    <w:link w:val="Sangradetextonormal"/>
    <w:rsid w:val="00157355"/>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2572</Words>
  <Characters>14149</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Hernando Velazquez Camacho</dc:creator>
  <cp:keywords/>
  <dc:description/>
  <cp:lastModifiedBy>Sara Eva</cp:lastModifiedBy>
  <cp:revision>2</cp:revision>
  <dcterms:created xsi:type="dcterms:W3CDTF">2020-11-20T21:24:00Z</dcterms:created>
  <dcterms:modified xsi:type="dcterms:W3CDTF">2020-11-20T21:24:00Z</dcterms:modified>
</cp:coreProperties>
</file>